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C650CF" w14:textId="5C2881D2" w:rsidR="00A93E89" w:rsidRPr="00F74CDC" w:rsidRDefault="00A93E89" w:rsidP="009F5A8D">
      <w:pPr>
        <w:pStyle w:val="Heading4"/>
        <w:pageBreakBefore w:val="0"/>
        <w:spacing w:before="320"/>
      </w:pPr>
      <w:r w:rsidRPr="00F74CDC">
        <w:t>Sph</w:t>
      </w:r>
      <w:r w:rsidR="009F5A8D">
        <w:t>ère, citations sur l</w:t>
      </w:r>
      <w:r w:rsidR="00F57D68">
        <w:t>a résilience et les catastrophes</w:t>
      </w:r>
      <w:r w:rsidR="009F5A8D">
        <w:t xml:space="preserve"> </w:t>
      </w:r>
    </w:p>
    <w:tbl>
      <w:tblPr>
        <w:tblStyle w:val="TableGrid"/>
        <w:tblW w:w="0" w:type="auto"/>
        <w:tblBorders>
          <w:top w:val="dashed" w:sz="4" w:space="0" w:color="579305" w:themeColor="accent1"/>
          <w:left w:val="dashed" w:sz="4" w:space="0" w:color="579305" w:themeColor="accent1"/>
          <w:bottom w:val="dashed" w:sz="4" w:space="0" w:color="579305" w:themeColor="accent1"/>
          <w:right w:val="dashed" w:sz="4" w:space="0" w:color="579305" w:themeColor="accent1"/>
          <w:insideH w:val="dashed" w:sz="4" w:space="0" w:color="579305" w:themeColor="accent1"/>
          <w:insideV w:val="dashed" w:sz="4" w:space="0" w:color="579305" w:themeColor="accent1"/>
        </w:tblBorders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9628"/>
      </w:tblGrid>
      <w:tr w:rsidR="00F51600" w:rsidRPr="00F74CDC" w14:paraId="61ABD123" w14:textId="77777777" w:rsidTr="00BB4EC0">
        <w:trPr>
          <w:trHeight w:val="1985"/>
        </w:trPr>
        <w:tc>
          <w:tcPr>
            <w:tcW w:w="9628" w:type="dxa"/>
            <w:vAlign w:val="center"/>
          </w:tcPr>
          <w:p w14:paraId="498A820C" w14:textId="6634D2D8" w:rsidR="00F51600" w:rsidRPr="00F74CDC" w:rsidRDefault="009F5A8D" w:rsidP="009F5A8D">
            <w:pPr>
              <w:pStyle w:val="Largebodytable"/>
            </w:pPr>
            <w:r>
              <w:t>« </w:t>
            </w:r>
            <w:r w:rsidR="007C390C" w:rsidRPr="00F74CDC">
              <w:t>Les efforts de secours et de relèvement doivent aussi prendre en compte les dangers et les facteurs de vulnérabilité futurs, afin de reconstruire des communautés plus sûres et d’œuvrer à une plus grande résilience</w:t>
            </w:r>
            <w:r>
              <w:t xml:space="preserve">. » </w:t>
            </w:r>
            <w:r w:rsidR="00F51600" w:rsidRPr="00F74CDC">
              <w:t>p.</w:t>
            </w:r>
            <w:r>
              <w:t xml:space="preserve"> 13</w:t>
            </w:r>
          </w:p>
        </w:tc>
      </w:tr>
      <w:tr w:rsidR="00F51600" w:rsidRPr="00F74CDC" w14:paraId="1A1117E5" w14:textId="77777777" w:rsidTr="00BB4EC0">
        <w:trPr>
          <w:trHeight w:val="1985"/>
        </w:trPr>
        <w:tc>
          <w:tcPr>
            <w:tcW w:w="9628" w:type="dxa"/>
            <w:vAlign w:val="center"/>
          </w:tcPr>
          <w:p w14:paraId="17831032" w14:textId="2F7F74E4" w:rsidR="00F51600" w:rsidRPr="00F74CDC" w:rsidRDefault="009F5A8D" w:rsidP="001164B6">
            <w:pPr>
              <w:pStyle w:val="Largebodytable"/>
            </w:pPr>
            <w:r>
              <w:t>« I</w:t>
            </w:r>
            <w:r w:rsidRPr="009F5A8D">
              <w:t>l est essentiel de soutenir les stratégies d’adaptation, la résilience et la capacité</w:t>
            </w:r>
            <w:r>
              <w:t xml:space="preserve"> </w:t>
            </w:r>
            <w:r w:rsidRPr="009F5A8D">
              <w:t>de récupération des gens</w:t>
            </w:r>
            <w:r>
              <w:t>. » Chapitres techniques</w:t>
            </w:r>
            <w:r w:rsidRPr="00ED3CA3">
              <w:t xml:space="preserve">, p. </w:t>
            </w:r>
            <w:r w:rsidR="001164B6" w:rsidRPr="00ED3CA3">
              <w:t>99</w:t>
            </w:r>
            <w:r w:rsidR="001164B6">
              <w:t>, 170, 286, 337</w:t>
            </w:r>
          </w:p>
        </w:tc>
      </w:tr>
      <w:tr w:rsidR="00F51600" w:rsidRPr="00F74CDC" w14:paraId="3871C42B" w14:textId="77777777" w:rsidTr="00BB4EC0">
        <w:trPr>
          <w:trHeight w:val="1985"/>
        </w:trPr>
        <w:tc>
          <w:tcPr>
            <w:tcW w:w="9628" w:type="dxa"/>
            <w:vAlign w:val="center"/>
          </w:tcPr>
          <w:p w14:paraId="1CCE7BD8" w14:textId="47AC8575" w:rsidR="00F51600" w:rsidRPr="00F74CDC" w:rsidRDefault="009F5A8D" w:rsidP="009F5A8D">
            <w:pPr>
              <w:pStyle w:val="Largebodytable"/>
            </w:pPr>
            <w:r>
              <w:t>« </w:t>
            </w:r>
            <w:r w:rsidR="005536BD" w:rsidRPr="00F74CDC">
              <w:t>Les secours doivent autant viser à limiter les vulnérabilités futures qu'à satisfaire les besoins essentiels</w:t>
            </w:r>
            <w:r w:rsidR="00F51600" w:rsidRPr="00F74CDC">
              <w:t>.</w:t>
            </w:r>
            <w:r>
              <w:t xml:space="preserve"> » </w:t>
            </w:r>
            <w:r w:rsidR="00F51600" w:rsidRPr="00F74CDC">
              <w:t xml:space="preserve"> Code </w:t>
            </w:r>
            <w:r w:rsidR="005536BD" w:rsidRPr="00F74CDC">
              <w:t>de conduit</w:t>
            </w:r>
            <w:r>
              <w:t>e</w:t>
            </w:r>
            <w:r w:rsidR="005536BD" w:rsidRPr="00F74CDC">
              <w:t>, article</w:t>
            </w:r>
            <w:r w:rsidR="00F51600" w:rsidRPr="00F74CDC">
              <w:t xml:space="preserve"> </w:t>
            </w:r>
            <w:r w:rsidR="001164B6">
              <w:t>8, p</w:t>
            </w:r>
            <w:r w:rsidR="00F57D68">
              <w:t>.</w:t>
            </w:r>
            <w:r w:rsidR="001164B6">
              <w:t xml:space="preserve"> 423</w:t>
            </w:r>
          </w:p>
        </w:tc>
      </w:tr>
      <w:tr w:rsidR="00F51600" w:rsidRPr="00F74CDC" w14:paraId="56F97E2E" w14:textId="77777777" w:rsidTr="00BB4EC0">
        <w:trPr>
          <w:trHeight w:val="1985"/>
        </w:trPr>
        <w:tc>
          <w:tcPr>
            <w:tcW w:w="9628" w:type="dxa"/>
            <w:vAlign w:val="center"/>
          </w:tcPr>
          <w:p w14:paraId="7D9FEBCE" w14:textId="633B37B6" w:rsidR="009F5A8D" w:rsidRPr="009F5A8D" w:rsidRDefault="009F5A8D" w:rsidP="009F5A8D">
            <w:pPr>
              <w:pStyle w:val="Largebodytable"/>
              <w:spacing w:before="0" w:after="0"/>
            </w:pPr>
            <w:r>
              <w:t>« </w:t>
            </w:r>
            <w:r w:rsidRPr="009F5A8D">
              <w:t>La population touchée par une catastrophe a droit à une assistance</w:t>
            </w:r>
          </w:p>
          <w:p w14:paraId="7B264095" w14:textId="77777777" w:rsidR="009F5A8D" w:rsidRPr="009F5A8D" w:rsidRDefault="009F5A8D" w:rsidP="009F5A8D">
            <w:pPr>
              <w:pStyle w:val="Largebodytable"/>
              <w:spacing w:before="0" w:after="0"/>
            </w:pPr>
            <w:r w:rsidRPr="009F5A8D">
              <w:t>alimentaire humanitaire qui assure sa survie, garantisse sa dignité</w:t>
            </w:r>
          </w:p>
          <w:p w14:paraId="058892FD" w14:textId="77777777" w:rsidR="009F5A8D" w:rsidRPr="009F5A8D" w:rsidRDefault="009F5A8D" w:rsidP="009F5A8D">
            <w:pPr>
              <w:pStyle w:val="Largebodytable"/>
              <w:spacing w:before="0" w:after="0"/>
            </w:pPr>
            <w:r w:rsidRPr="009F5A8D">
              <w:t>et, dans la mesure du possible, empêche l’érosion de ses biens et</w:t>
            </w:r>
          </w:p>
          <w:p w14:paraId="7F7F7005" w14:textId="4088AB40" w:rsidR="00F51600" w:rsidRPr="00F74CDC" w:rsidRDefault="009F5A8D" w:rsidP="009F5A8D">
            <w:pPr>
              <w:pStyle w:val="Largebodytable"/>
              <w:spacing w:before="0" w:after="0"/>
            </w:pPr>
            <w:r w:rsidRPr="009F5A8D">
              <w:t>renforce sa résilience</w:t>
            </w:r>
            <w:r w:rsidR="00F51600" w:rsidRPr="00F74CDC">
              <w:t>.</w:t>
            </w:r>
            <w:r>
              <w:t> » Standar</w:t>
            </w:r>
            <w:r w:rsidR="00F005F4">
              <w:t>d 1 sur la sécurité alimentaire :</w:t>
            </w:r>
            <w:r>
              <w:t xml:space="preserve"> sécurité alimentaire générale</w:t>
            </w:r>
            <w:r w:rsidR="00F005F4">
              <w:t>, p</w:t>
            </w:r>
            <w:r w:rsidR="00F57D68">
              <w:t>.</w:t>
            </w:r>
            <w:r w:rsidR="00F005F4">
              <w:t xml:space="preserve"> 203</w:t>
            </w:r>
          </w:p>
        </w:tc>
      </w:tr>
    </w:tbl>
    <w:p w14:paraId="661F1071" w14:textId="55757AD5" w:rsidR="00A93E89" w:rsidRPr="00F74CDC" w:rsidRDefault="00491CA6" w:rsidP="00F51600">
      <w:pPr>
        <w:pStyle w:val="Heading4"/>
      </w:pPr>
      <w:r>
        <w:lastRenderedPageBreak/>
        <w:t>Jeu des définitions</w:t>
      </w:r>
    </w:p>
    <w:tbl>
      <w:tblPr>
        <w:tblStyle w:val="TableGrid"/>
        <w:tblW w:w="0" w:type="auto"/>
        <w:tblBorders>
          <w:top w:val="dashed" w:sz="6" w:space="0" w:color="579305" w:themeColor="accent1"/>
          <w:left w:val="dashed" w:sz="6" w:space="0" w:color="579305" w:themeColor="accent1"/>
          <w:bottom w:val="dashed" w:sz="6" w:space="0" w:color="579305" w:themeColor="accent1"/>
          <w:right w:val="dashed" w:sz="6" w:space="0" w:color="579305" w:themeColor="accent1"/>
          <w:insideH w:val="dashed" w:sz="6" w:space="0" w:color="579305" w:themeColor="accent1"/>
          <w:insideV w:val="dashed" w:sz="6" w:space="0" w:color="579305" w:themeColor="accent1"/>
        </w:tblBorders>
        <w:tblLook w:val="04A0" w:firstRow="1" w:lastRow="0" w:firstColumn="1" w:lastColumn="0" w:noHBand="0" w:noVBand="1"/>
      </w:tblPr>
      <w:tblGrid>
        <w:gridCol w:w="3652"/>
        <w:gridCol w:w="5976"/>
      </w:tblGrid>
      <w:tr w:rsidR="00D043E4" w:rsidRPr="00F74CDC" w14:paraId="2223D9F8" w14:textId="77777777" w:rsidTr="00B66D58">
        <w:trPr>
          <w:cantSplit/>
          <w:tblHeader/>
        </w:trPr>
        <w:tc>
          <w:tcPr>
            <w:tcW w:w="3652" w:type="dxa"/>
            <w:shd w:val="clear" w:color="auto" w:fill="E9F7CB" w:themeFill="background2" w:themeFillTint="33"/>
          </w:tcPr>
          <w:p w14:paraId="4236234D" w14:textId="16F61F3D" w:rsidR="00A93E89" w:rsidRPr="00F74CDC" w:rsidRDefault="006D149B" w:rsidP="00B66D58">
            <w:pPr>
              <w:pStyle w:val="tableheading"/>
              <w:spacing w:line="240" w:lineRule="auto"/>
              <w:jc w:val="center"/>
            </w:pPr>
            <w:r w:rsidRPr="00F74CDC">
              <w:t>Term</w:t>
            </w:r>
            <w:r w:rsidR="00491CA6">
              <w:t>e</w:t>
            </w:r>
          </w:p>
        </w:tc>
        <w:tc>
          <w:tcPr>
            <w:tcW w:w="5976" w:type="dxa"/>
            <w:shd w:val="clear" w:color="auto" w:fill="E9F7CB" w:themeFill="background2" w:themeFillTint="33"/>
          </w:tcPr>
          <w:p w14:paraId="31F51498" w14:textId="2F2CF564" w:rsidR="00A93E89" w:rsidRPr="00F74CDC" w:rsidRDefault="00491CA6" w:rsidP="00F57D68">
            <w:pPr>
              <w:pStyle w:val="tableheading"/>
              <w:spacing w:line="240" w:lineRule="auto"/>
            </w:pPr>
            <w:r>
              <w:t>Dé</w:t>
            </w:r>
            <w:r w:rsidR="006D149B" w:rsidRPr="00F74CDC">
              <w:t>finition</w:t>
            </w:r>
          </w:p>
        </w:tc>
      </w:tr>
      <w:tr w:rsidR="00D043E4" w:rsidRPr="00F74CDC" w14:paraId="2BB1BCD6" w14:textId="77777777" w:rsidTr="00B66D58">
        <w:trPr>
          <w:cantSplit/>
          <w:trHeight w:val="1701"/>
        </w:trPr>
        <w:tc>
          <w:tcPr>
            <w:tcW w:w="3652" w:type="dxa"/>
            <w:vAlign w:val="center"/>
          </w:tcPr>
          <w:p w14:paraId="03E95269" w14:textId="1B0A8AD7" w:rsidR="00A93E89" w:rsidRPr="00B66D58" w:rsidRDefault="00A93E89" w:rsidP="00B66D58">
            <w:pPr>
              <w:pStyle w:val="tableheading"/>
              <w:spacing w:line="240" w:lineRule="auto"/>
              <w:jc w:val="center"/>
            </w:pPr>
            <w:r w:rsidRPr="00B66D58">
              <w:t>Ris</w:t>
            </w:r>
            <w:r w:rsidR="00491CA6" w:rsidRPr="00B66D58">
              <w:t>que</w:t>
            </w:r>
          </w:p>
        </w:tc>
        <w:tc>
          <w:tcPr>
            <w:tcW w:w="5976" w:type="dxa"/>
            <w:vAlign w:val="center"/>
          </w:tcPr>
          <w:p w14:paraId="290B25B1" w14:textId="26DEDE47" w:rsidR="00A93E89" w:rsidRPr="00F74CDC" w:rsidRDefault="00711FA1" w:rsidP="00F57D68">
            <w:pPr>
              <w:pStyle w:val="table"/>
              <w:spacing w:line="240" w:lineRule="auto"/>
            </w:pPr>
            <w:r w:rsidRPr="00F74CDC">
              <w:t>La combinaison de la probabilité d’un événement et de ses conséquences négatives</w:t>
            </w:r>
            <w:r w:rsidR="00E467D0">
              <w:t>.</w:t>
            </w:r>
            <w:r w:rsidRPr="00F74CDC">
              <w:t xml:space="preserve"> </w:t>
            </w:r>
            <w:r w:rsidR="00A93E89" w:rsidRPr="00F74CDC">
              <w:t>(UNISDR 2007)</w:t>
            </w:r>
          </w:p>
        </w:tc>
      </w:tr>
      <w:tr w:rsidR="00D043E4" w:rsidRPr="00F74CDC" w14:paraId="2EED8A5B" w14:textId="77777777" w:rsidTr="00B66D58">
        <w:trPr>
          <w:cantSplit/>
          <w:trHeight w:val="1701"/>
        </w:trPr>
        <w:tc>
          <w:tcPr>
            <w:tcW w:w="3652" w:type="dxa"/>
            <w:vAlign w:val="center"/>
          </w:tcPr>
          <w:p w14:paraId="5CA626CC" w14:textId="41121143" w:rsidR="00A93E89" w:rsidRPr="00B66D58" w:rsidRDefault="00D043E4" w:rsidP="00B66D58">
            <w:pPr>
              <w:pStyle w:val="tableheading"/>
              <w:spacing w:line="240" w:lineRule="auto"/>
              <w:jc w:val="center"/>
            </w:pPr>
            <w:r w:rsidRPr="00B66D58">
              <w:t>Choc</w:t>
            </w:r>
          </w:p>
        </w:tc>
        <w:tc>
          <w:tcPr>
            <w:tcW w:w="5976" w:type="dxa"/>
            <w:vAlign w:val="center"/>
          </w:tcPr>
          <w:p w14:paraId="6D2B3DC4" w14:textId="5AD55D63" w:rsidR="00A93E89" w:rsidRPr="00F74CDC" w:rsidRDefault="00A628C0" w:rsidP="00F57D68">
            <w:pPr>
              <w:pStyle w:val="table"/>
              <w:spacing w:line="240" w:lineRule="auto"/>
            </w:pPr>
            <w:r>
              <w:t xml:space="preserve">Événements soudains qui ont un impact considérable – généralement négatif – sur les moyens de subsistance. Ils sont irréguliers et </w:t>
            </w:r>
            <w:r w:rsidR="006712EB">
              <w:t>d’intensité variable</w:t>
            </w:r>
            <w:r>
              <w:t>, et parmi eux figurent des événements comme les catastrophes naturelles, les conflits civils, la perte d</w:t>
            </w:r>
            <w:r w:rsidR="00E467D0">
              <w:t>’un</w:t>
            </w:r>
            <w:r>
              <w:t xml:space="preserve"> emploi, l’effondrement des prix des produits agricoles, etc. </w:t>
            </w:r>
            <w:r w:rsidR="00A93E89" w:rsidRPr="00F74CDC">
              <w:t>(DFID, 2001)</w:t>
            </w:r>
          </w:p>
        </w:tc>
      </w:tr>
      <w:tr w:rsidR="00D043E4" w:rsidRPr="00F74CDC" w14:paraId="6520B4CB" w14:textId="77777777" w:rsidTr="00B66D58">
        <w:trPr>
          <w:cantSplit/>
          <w:trHeight w:val="1701"/>
        </w:trPr>
        <w:tc>
          <w:tcPr>
            <w:tcW w:w="3652" w:type="dxa"/>
            <w:vAlign w:val="center"/>
          </w:tcPr>
          <w:p w14:paraId="69E18C2A" w14:textId="7312EE43" w:rsidR="00A93E89" w:rsidRPr="00B66D58" w:rsidRDefault="00A93E89" w:rsidP="00B66D58">
            <w:pPr>
              <w:pStyle w:val="tableheading"/>
              <w:spacing w:line="240" w:lineRule="auto"/>
              <w:jc w:val="center"/>
            </w:pPr>
            <w:r w:rsidRPr="00B66D58">
              <w:t>Vuln</w:t>
            </w:r>
            <w:r w:rsidR="00D043E4" w:rsidRPr="00B66D58">
              <w:t>érabilité</w:t>
            </w:r>
          </w:p>
        </w:tc>
        <w:tc>
          <w:tcPr>
            <w:tcW w:w="5976" w:type="dxa"/>
            <w:vAlign w:val="center"/>
          </w:tcPr>
          <w:p w14:paraId="0CCB0F90" w14:textId="0899CCDE" w:rsidR="00A93E89" w:rsidRPr="00F74CDC" w:rsidRDefault="00A93E89" w:rsidP="00F57D68">
            <w:pPr>
              <w:pStyle w:val="table"/>
              <w:spacing w:line="240" w:lineRule="auto"/>
            </w:pPr>
            <w:r w:rsidRPr="00F74CDC">
              <w:t>Fact</w:t>
            </w:r>
            <w:r w:rsidR="00A628C0">
              <w:t xml:space="preserve">eurs entraînant la susceptibilité des éléments exposés. </w:t>
            </w:r>
          </w:p>
        </w:tc>
      </w:tr>
      <w:tr w:rsidR="00D043E4" w:rsidRPr="00F74CDC" w14:paraId="4663A153" w14:textId="77777777" w:rsidTr="00B66D58">
        <w:trPr>
          <w:cantSplit/>
          <w:trHeight w:val="1701"/>
        </w:trPr>
        <w:tc>
          <w:tcPr>
            <w:tcW w:w="3652" w:type="dxa"/>
            <w:vAlign w:val="center"/>
          </w:tcPr>
          <w:p w14:paraId="32C4B367" w14:textId="0F551E65" w:rsidR="00A93E89" w:rsidRPr="00B66D58" w:rsidRDefault="00A93E89" w:rsidP="00B66D58">
            <w:pPr>
              <w:pStyle w:val="tableheading"/>
              <w:spacing w:line="240" w:lineRule="auto"/>
              <w:jc w:val="center"/>
            </w:pPr>
            <w:r w:rsidRPr="00B66D58">
              <w:t>Capacit</w:t>
            </w:r>
            <w:r w:rsidR="00D043E4" w:rsidRPr="00B66D58">
              <w:t>é</w:t>
            </w:r>
            <w:r w:rsidR="00A628C0" w:rsidRPr="00B66D58">
              <w:t>s</w:t>
            </w:r>
          </w:p>
        </w:tc>
        <w:tc>
          <w:tcPr>
            <w:tcW w:w="5976" w:type="dxa"/>
            <w:vAlign w:val="center"/>
          </w:tcPr>
          <w:p w14:paraId="3F234039" w14:textId="018C3172" w:rsidR="0026582D" w:rsidRPr="00F74CDC" w:rsidRDefault="00A628C0" w:rsidP="00F57D68">
            <w:pPr>
              <w:pStyle w:val="table"/>
              <w:spacing w:line="240" w:lineRule="auto"/>
            </w:pPr>
            <w:r>
              <w:t xml:space="preserve">Les capacités sont la combinaison de l’ensemble des forces, attributs et ressources dans </w:t>
            </w:r>
            <w:r w:rsidR="00E467D0">
              <w:t xml:space="preserve">le lieu où se situe </w:t>
            </w:r>
            <w:r>
              <w:t xml:space="preserve">un aléa qui renforcent la résistance aux chocs et peuvent servir </w:t>
            </w:r>
            <w:r w:rsidR="00E467D0">
              <w:t>à se relever</w:t>
            </w:r>
            <w:r>
              <w:t xml:space="preserve"> d’un choc. </w:t>
            </w:r>
            <w:r w:rsidR="0026582D">
              <w:t>Il peut s’agir de ca</w:t>
            </w:r>
            <w:r>
              <w:t xml:space="preserve">pacités humaines, physiques, naturelles, économiques et de capital social. </w:t>
            </w:r>
          </w:p>
        </w:tc>
      </w:tr>
      <w:tr w:rsidR="00D043E4" w:rsidRPr="00F74CDC" w14:paraId="303F59C4" w14:textId="77777777" w:rsidTr="00B66D58">
        <w:trPr>
          <w:cantSplit/>
          <w:trHeight w:val="1701"/>
        </w:trPr>
        <w:tc>
          <w:tcPr>
            <w:tcW w:w="3652" w:type="dxa"/>
            <w:vAlign w:val="center"/>
          </w:tcPr>
          <w:p w14:paraId="7730C617" w14:textId="19BEB841" w:rsidR="00A93E89" w:rsidRPr="00B66D58" w:rsidRDefault="00D043E4" w:rsidP="00B66D58">
            <w:pPr>
              <w:pStyle w:val="tableheading"/>
              <w:spacing w:line="240" w:lineRule="auto"/>
              <w:jc w:val="center"/>
            </w:pPr>
            <w:r w:rsidRPr="00B66D58">
              <w:t>Réduction des risques de catastrophe</w:t>
            </w:r>
          </w:p>
        </w:tc>
        <w:tc>
          <w:tcPr>
            <w:tcW w:w="5976" w:type="dxa"/>
            <w:vAlign w:val="center"/>
          </w:tcPr>
          <w:p w14:paraId="252C5180" w14:textId="46610A76" w:rsidR="00A93E89" w:rsidRPr="00F74CDC" w:rsidRDefault="00711FA1" w:rsidP="00F57D68">
            <w:pPr>
              <w:pStyle w:val="table"/>
              <w:spacing w:line="240" w:lineRule="auto"/>
            </w:pPr>
            <w:r w:rsidRPr="00F74CDC">
              <w:t>Concept et pratique de la r</w:t>
            </w:r>
            <w:r w:rsidR="00A628C0">
              <w:t>é</w:t>
            </w:r>
            <w:r w:rsidRPr="00F74CDC">
              <w:t xml:space="preserve">duction des risques de catastrophe grâce à des efforts pour analyser et gérer leurs causes, notamment par une réduction de l’exposition aux risques, qui permet de réduire la vulnérabilité des personnes et des biens, </w:t>
            </w:r>
            <w:r w:rsidR="00F005F4">
              <w:t>la gestion prudent</w:t>
            </w:r>
            <w:r w:rsidRPr="00F74CDC">
              <w:t>e des terres et de l’environnement et l’amélioration de la préparation aux événements indésirables</w:t>
            </w:r>
            <w:r w:rsidR="00E467D0">
              <w:t>.</w:t>
            </w:r>
            <w:r w:rsidRPr="00F74CDC">
              <w:t xml:space="preserve"> </w:t>
            </w:r>
            <w:r w:rsidR="00A93E89" w:rsidRPr="00F74CDC">
              <w:t>(</w:t>
            </w:r>
            <w:r w:rsidR="00A628C0">
              <w:t>Terminologie relative à la RRC</w:t>
            </w:r>
            <w:r w:rsidR="00A628C0" w:rsidRPr="00F74CDC">
              <w:t xml:space="preserve">, </w:t>
            </w:r>
            <w:r w:rsidR="00A93E89" w:rsidRPr="00F74CDC">
              <w:t>UNISDR 2009)</w:t>
            </w:r>
          </w:p>
        </w:tc>
      </w:tr>
      <w:tr w:rsidR="00D043E4" w:rsidRPr="00F74CDC" w14:paraId="681833AE" w14:textId="77777777" w:rsidTr="00B66D58">
        <w:trPr>
          <w:cantSplit/>
          <w:trHeight w:val="1701"/>
        </w:trPr>
        <w:tc>
          <w:tcPr>
            <w:tcW w:w="3652" w:type="dxa"/>
            <w:vAlign w:val="center"/>
          </w:tcPr>
          <w:p w14:paraId="09638BDF" w14:textId="1437A1A9" w:rsidR="00A93E89" w:rsidRPr="00B66D58" w:rsidRDefault="00D043E4" w:rsidP="00B66D58">
            <w:pPr>
              <w:pStyle w:val="tableheading"/>
              <w:spacing w:line="240" w:lineRule="auto"/>
              <w:jc w:val="center"/>
            </w:pPr>
            <w:r w:rsidRPr="00B66D58">
              <w:t>Formule du risque de catastrophe</w:t>
            </w:r>
          </w:p>
        </w:tc>
        <w:tc>
          <w:tcPr>
            <w:tcW w:w="5976" w:type="dxa"/>
            <w:vAlign w:val="center"/>
          </w:tcPr>
          <w:p w14:paraId="4AF9B16B" w14:textId="561E969B" w:rsidR="00A93E89" w:rsidRPr="00F74CDC" w:rsidRDefault="0026582D" w:rsidP="00F57D68">
            <w:pPr>
              <w:pStyle w:val="table"/>
              <w:tabs>
                <w:tab w:val="left" w:pos="2666"/>
              </w:tabs>
              <w:spacing w:line="240" w:lineRule="auto"/>
            </w:pPr>
            <w:r>
              <w:t>Risque de catastrophe</w:t>
            </w:r>
            <w:r w:rsidR="006D149B" w:rsidRPr="00F74CDC">
              <w:t xml:space="preserve"> = </w:t>
            </w:r>
            <w:r w:rsidR="003459D2" w:rsidRPr="00F005F4">
              <w:rPr>
                <w:u w:val="single"/>
              </w:rPr>
              <w:t>A</w:t>
            </w:r>
            <w:r w:rsidRPr="00F005F4">
              <w:rPr>
                <w:u w:val="single"/>
              </w:rPr>
              <w:t>léa x</w:t>
            </w:r>
            <w:r w:rsidR="006D149B" w:rsidRPr="00F005F4">
              <w:rPr>
                <w:u w:val="single"/>
              </w:rPr>
              <w:t xml:space="preserve"> </w:t>
            </w:r>
            <w:r w:rsidR="003459D2" w:rsidRPr="00F005F4">
              <w:rPr>
                <w:u w:val="single"/>
              </w:rPr>
              <w:t>V</w:t>
            </w:r>
            <w:r w:rsidRPr="00F005F4">
              <w:rPr>
                <w:u w:val="single"/>
              </w:rPr>
              <w:t>ulnérabilité</w:t>
            </w:r>
            <w:r w:rsidR="006D149B" w:rsidRPr="00F74CDC">
              <w:rPr>
                <w:u w:val="single"/>
              </w:rPr>
              <w:br/>
            </w:r>
            <w:r w:rsidR="006D149B" w:rsidRPr="00F74CDC">
              <w:tab/>
              <w:t>Capacit</w:t>
            </w:r>
            <w:r>
              <w:t>é</w:t>
            </w:r>
          </w:p>
        </w:tc>
      </w:tr>
      <w:tr w:rsidR="00D043E4" w:rsidRPr="00F74CDC" w14:paraId="4DBAF4E7" w14:textId="77777777" w:rsidTr="00B66D58">
        <w:trPr>
          <w:cantSplit/>
          <w:trHeight w:val="1701"/>
        </w:trPr>
        <w:tc>
          <w:tcPr>
            <w:tcW w:w="3652" w:type="dxa"/>
            <w:vAlign w:val="center"/>
          </w:tcPr>
          <w:p w14:paraId="038383F0" w14:textId="3AFFD65E" w:rsidR="00A93E89" w:rsidRPr="00B66D58" w:rsidRDefault="00D043E4" w:rsidP="00B66D58">
            <w:pPr>
              <w:pStyle w:val="tableheading"/>
              <w:spacing w:line="240" w:lineRule="auto"/>
              <w:jc w:val="center"/>
            </w:pPr>
            <w:r w:rsidRPr="00B66D58">
              <w:t>Évaluation des vulnérabilités et des capacités</w:t>
            </w:r>
          </w:p>
        </w:tc>
        <w:tc>
          <w:tcPr>
            <w:tcW w:w="5976" w:type="dxa"/>
            <w:vAlign w:val="center"/>
          </w:tcPr>
          <w:p w14:paraId="67694CFA" w14:textId="1FBC13EC" w:rsidR="00A93E89" w:rsidRPr="00F74CDC" w:rsidRDefault="0026582D" w:rsidP="00F57D68">
            <w:pPr>
              <w:pStyle w:val="table"/>
              <w:spacing w:line="240" w:lineRule="auto"/>
            </w:pPr>
            <w:r>
              <w:t>Processus permettant d’identifier les vulnérabilités susceptibles aux effets néfastes d’un aléa ou d’une catastrophe et les capacités existantes qui peuvent être exploitées pour améliorer la résilience aux aléas</w:t>
            </w:r>
            <w:r w:rsidR="00E467D0">
              <w:t>.</w:t>
            </w:r>
            <w:r>
              <w:t xml:space="preserve"> </w:t>
            </w:r>
          </w:p>
        </w:tc>
      </w:tr>
      <w:tr w:rsidR="00D043E4" w:rsidRPr="00F74CDC" w14:paraId="49CD5934" w14:textId="77777777" w:rsidTr="00B66D58">
        <w:trPr>
          <w:cantSplit/>
          <w:trHeight w:val="1701"/>
        </w:trPr>
        <w:tc>
          <w:tcPr>
            <w:tcW w:w="3652" w:type="dxa"/>
            <w:vAlign w:val="center"/>
          </w:tcPr>
          <w:p w14:paraId="185212D8" w14:textId="03CFAE97" w:rsidR="00A93E89" w:rsidRPr="00B66D58" w:rsidRDefault="00D043E4" w:rsidP="00B66D58">
            <w:pPr>
              <w:pStyle w:val="tableheading"/>
              <w:spacing w:line="240" w:lineRule="auto"/>
              <w:jc w:val="center"/>
            </w:pPr>
            <w:r w:rsidRPr="00B66D58">
              <w:lastRenderedPageBreak/>
              <w:t>Gestion des risques de catastrophe</w:t>
            </w:r>
          </w:p>
        </w:tc>
        <w:tc>
          <w:tcPr>
            <w:tcW w:w="5976" w:type="dxa"/>
            <w:vAlign w:val="center"/>
          </w:tcPr>
          <w:p w14:paraId="1FA9A28A" w14:textId="0E0AD278" w:rsidR="00A93E89" w:rsidRPr="00F74CDC" w:rsidRDefault="00711FA1" w:rsidP="00F57D68">
            <w:pPr>
              <w:pStyle w:val="table"/>
              <w:spacing w:line="240" w:lineRule="auto"/>
            </w:pPr>
            <w:r w:rsidRPr="00F74CDC">
              <w:t>Processus de recours systématique aux</w:t>
            </w:r>
            <w:r w:rsidR="005536BD" w:rsidRPr="00F74CDC">
              <w:t xml:space="preserve"> </w:t>
            </w:r>
            <w:r w:rsidRPr="00F74CDC">
              <w:t>directives</w:t>
            </w:r>
            <w:r w:rsidR="00BF0109">
              <w:t xml:space="preserve"> administratives</w:t>
            </w:r>
            <w:r w:rsidRPr="00F74CDC">
              <w:t>,</w:t>
            </w:r>
            <w:r w:rsidR="00BF0109">
              <w:t xml:space="preserve"> aux organisations, compétences opérationnelles et</w:t>
            </w:r>
            <w:r w:rsidR="005536BD" w:rsidRPr="00F74CDC">
              <w:t xml:space="preserve"> </w:t>
            </w:r>
            <w:r w:rsidRPr="00F74CDC">
              <w:t>capacités pour</w:t>
            </w:r>
            <w:r w:rsidR="005536BD" w:rsidRPr="00F74CDC">
              <w:t xml:space="preserve"> </w:t>
            </w:r>
            <w:r w:rsidR="00BF0109">
              <w:t>mettre en œuvre d</w:t>
            </w:r>
            <w:r w:rsidRPr="00F74CDC">
              <w:t xml:space="preserve">es </w:t>
            </w:r>
            <w:r w:rsidR="00BF0109">
              <w:t xml:space="preserve">stratégies, des politiques </w:t>
            </w:r>
            <w:r w:rsidRPr="00F74CDC">
              <w:t xml:space="preserve">et </w:t>
            </w:r>
            <w:r w:rsidR="00BF0109">
              <w:t>de meilleures capacités de réponse</w:t>
            </w:r>
            <w:r w:rsidRPr="00F74CDC">
              <w:t xml:space="preserve"> en vue</w:t>
            </w:r>
            <w:r w:rsidR="005536BD" w:rsidRPr="00F74CDC">
              <w:t xml:space="preserve"> </w:t>
            </w:r>
            <w:r w:rsidRPr="00F74CDC">
              <w:t xml:space="preserve">d’atténuer l’impact </w:t>
            </w:r>
            <w:r w:rsidR="003F0731">
              <w:t xml:space="preserve">néfaste </w:t>
            </w:r>
            <w:r w:rsidRPr="00F74CDC">
              <w:t>des aléas naturels et</w:t>
            </w:r>
            <w:r w:rsidR="005536BD" w:rsidRPr="00F74CDC">
              <w:t xml:space="preserve"> </w:t>
            </w:r>
            <w:r w:rsidRPr="00F74CDC">
              <w:t>risques de catastrophes</w:t>
            </w:r>
            <w:r w:rsidR="00E467D0">
              <w:t>.</w:t>
            </w:r>
            <w:r w:rsidRPr="00F74CDC">
              <w:t xml:space="preserve"> </w:t>
            </w:r>
            <w:r w:rsidR="00A93E89" w:rsidRPr="00F74CDC">
              <w:t>(</w:t>
            </w:r>
            <w:r w:rsidR="00A628C0">
              <w:t>Terminologie relative à la RRC</w:t>
            </w:r>
            <w:r w:rsidR="00A93E89" w:rsidRPr="00F74CDC">
              <w:t>, UNISDR 2009)</w:t>
            </w:r>
          </w:p>
        </w:tc>
      </w:tr>
      <w:tr w:rsidR="00D043E4" w:rsidRPr="00F74CDC" w14:paraId="261505BE" w14:textId="77777777" w:rsidTr="00B66D58">
        <w:trPr>
          <w:cantSplit/>
          <w:trHeight w:val="1701"/>
        </w:trPr>
        <w:tc>
          <w:tcPr>
            <w:tcW w:w="3652" w:type="dxa"/>
            <w:vAlign w:val="center"/>
          </w:tcPr>
          <w:p w14:paraId="65E40E42" w14:textId="5169938C" w:rsidR="00A93E89" w:rsidRPr="00B66D58" w:rsidRDefault="00D043E4" w:rsidP="00B66D58">
            <w:pPr>
              <w:pStyle w:val="tableheading"/>
              <w:spacing w:line="240" w:lineRule="auto"/>
              <w:jc w:val="center"/>
            </w:pPr>
            <w:r w:rsidRPr="00B66D58">
              <w:t>Ré</w:t>
            </w:r>
            <w:r w:rsidR="00A93E89" w:rsidRPr="00B66D58">
              <w:t>silience</w:t>
            </w:r>
          </w:p>
        </w:tc>
        <w:tc>
          <w:tcPr>
            <w:tcW w:w="5976" w:type="dxa"/>
            <w:vAlign w:val="center"/>
          </w:tcPr>
          <w:p w14:paraId="7903E92B" w14:textId="329FED0D" w:rsidR="00A93E89" w:rsidRPr="00F74CDC" w:rsidRDefault="0026582D" w:rsidP="00F57D68">
            <w:pPr>
              <w:pStyle w:val="table"/>
              <w:spacing w:line="240" w:lineRule="auto"/>
            </w:pPr>
            <w:r>
              <w:t>La résilience est l’aptitude des ménages, des communautés et des nations à absorber les chocs et à s’en relever, tout en s’adaptant positivement et en transformant leurs structures et leurs moyens de subsistance dans une situation de stress, de changement</w:t>
            </w:r>
            <w:r w:rsidR="00E467D0">
              <w:t xml:space="preserve">s et d’incertitude à long terme. </w:t>
            </w:r>
            <w:r w:rsidR="00BF0109">
              <w:t>(O</w:t>
            </w:r>
            <w:r w:rsidR="00A93E89" w:rsidRPr="00F74CDC">
              <w:t>CD</w:t>
            </w:r>
            <w:r w:rsidR="00BF0109">
              <w:t>E</w:t>
            </w:r>
            <w:r w:rsidR="00A93E89" w:rsidRPr="00F74CDC">
              <w:t xml:space="preserve"> 2013)</w:t>
            </w:r>
          </w:p>
        </w:tc>
      </w:tr>
      <w:tr w:rsidR="00D043E4" w:rsidRPr="00F74CDC" w14:paraId="40A38162" w14:textId="77777777" w:rsidTr="00B66D58">
        <w:trPr>
          <w:cantSplit/>
          <w:trHeight w:val="1701"/>
        </w:trPr>
        <w:tc>
          <w:tcPr>
            <w:tcW w:w="3652" w:type="dxa"/>
            <w:vAlign w:val="center"/>
          </w:tcPr>
          <w:p w14:paraId="0F8A0BE4" w14:textId="5A4E40A4" w:rsidR="00A93E89" w:rsidRPr="00B66D58" w:rsidRDefault="00D043E4" w:rsidP="00B66D58">
            <w:pPr>
              <w:pStyle w:val="tableheading"/>
              <w:spacing w:line="240" w:lineRule="auto"/>
              <w:jc w:val="center"/>
            </w:pPr>
            <w:r w:rsidRPr="00B66D58">
              <w:t>Capacité d’absorption</w:t>
            </w:r>
          </w:p>
        </w:tc>
        <w:tc>
          <w:tcPr>
            <w:tcW w:w="5976" w:type="dxa"/>
            <w:vAlign w:val="center"/>
          </w:tcPr>
          <w:p w14:paraId="3DF6D057" w14:textId="084718FE" w:rsidR="00A93E89" w:rsidRPr="00A628C0" w:rsidRDefault="003459D2" w:rsidP="00F57D68">
            <w:pPr>
              <w:pStyle w:val="table"/>
              <w:spacing w:line="240" w:lineRule="auto"/>
              <w:rPr>
                <w:highlight w:val="yellow"/>
              </w:rPr>
            </w:pPr>
            <w:r w:rsidRPr="003459D2">
              <w:t>L’aptitude d’un système à se préparer, à atténuer ou à prévenir les impacts d’événements négatifs à l’aide de réponses prédéterminées lui permettant de s’adapter, afin de préserver et de restaurer des structures et fonctions essentielles de base</w:t>
            </w:r>
            <w:r>
              <w:t>.</w:t>
            </w:r>
            <w:r w:rsidRPr="003459D2">
              <w:t xml:space="preserve"> </w:t>
            </w:r>
            <w:r w:rsidR="00A93E89" w:rsidRPr="003459D2">
              <w:t>(</w:t>
            </w:r>
            <w:r w:rsidR="00E467D0" w:rsidRPr="003459D2">
              <w:t>OCDE</w:t>
            </w:r>
            <w:r w:rsidR="00A93E89" w:rsidRPr="003459D2">
              <w:t xml:space="preserve"> 2013)</w:t>
            </w:r>
          </w:p>
        </w:tc>
      </w:tr>
      <w:tr w:rsidR="00D043E4" w:rsidRPr="00F74CDC" w14:paraId="2FF7D28B" w14:textId="77777777" w:rsidTr="00B66D58">
        <w:trPr>
          <w:cantSplit/>
          <w:trHeight w:val="1701"/>
        </w:trPr>
        <w:tc>
          <w:tcPr>
            <w:tcW w:w="3652" w:type="dxa"/>
            <w:vAlign w:val="center"/>
          </w:tcPr>
          <w:p w14:paraId="5BA75608" w14:textId="0712CB2B" w:rsidR="00A93E89" w:rsidRPr="00B66D58" w:rsidRDefault="00D043E4" w:rsidP="00B66D58">
            <w:pPr>
              <w:pStyle w:val="tableheading"/>
              <w:spacing w:line="240" w:lineRule="auto"/>
              <w:jc w:val="center"/>
            </w:pPr>
            <w:r w:rsidRPr="00B66D58">
              <w:t>Capacité d’adaptation</w:t>
            </w:r>
          </w:p>
        </w:tc>
        <w:tc>
          <w:tcPr>
            <w:tcW w:w="5976" w:type="dxa"/>
            <w:vAlign w:val="center"/>
          </w:tcPr>
          <w:p w14:paraId="3D9C4B0C" w14:textId="56B40DB0" w:rsidR="00A93E89" w:rsidRPr="00A628C0" w:rsidRDefault="003459D2" w:rsidP="00F57D68">
            <w:pPr>
              <w:pStyle w:val="table"/>
              <w:spacing w:line="240" w:lineRule="auto"/>
              <w:rPr>
                <w:highlight w:val="yellow"/>
              </w:rPr>
            </w:pPr>
            <w:r w:rsidRPr="003459D2">
              <w:t>L’aptitude d’un système à s’ajuster, à modifier ou à changer ses caractéristiques et ses actions afin de modérer les dégâts futurs potentiels et de profiter des occasions, le tout pour pouvoir continuer à fonctionner sans changements qualitatifs majeurs sur le plan de la fonction ou de l’identité structurelle</w:t>
            </w:r>
            <w:r>
              <w:t>.</w:t>
            </w:r>
            <w:r w:rsidRPr="003459D2">
              <w:t xml:space="preserve"> </w:t>
            </w:r>
            <w:r w:rsidR="00A93E89" w:rsidRPr="003459D2">
              <w:t>(</w:t>
            </w:r>
            <w:r w:rsidR="00E467D0" w:rsidRPr="003459D2">
              <w:t>OCDE</w:t>
            </w:r>
            <w:r w:rsidR="00A93E89" w:rsidRPr="003459D2">
              <w:t xml:space="preserve"> 2013)</w:t>
            </w:r>
          </w:p>
        </w:tc>
      </w:tr>
      <w:tr w:rsidR="00D043E4" w:rsidRPr="00F74CDC" w14:paraId="08E38B1C" w14:textId="77777777" w:rsidTr="00B66D58">
        <w:trPr>
          <w:cantSplit/>
          <w:trHeight w:val="1701"/>
        </w:trPr>
        <w:tc>
          <w:tcPr>
            <w:tcW w:w="3652" w:type="dxa"/>
            <w:vAlign w:val="center"/>
          </w:tcPr>
          <w:p w14:paraId="5154E767" w14:textId="7708E033" w:rsidR="00A93E89" w:rsidRPr="00B66D58" w:rsidRDefault="00D043E4" w:rsidP="00B66D58">
            <w:pPr>
              <w:pStyle w:val="tableheading"/>
              <w:spacing w:line="240" w:lineRule="auto"/>
              <w:jc w:val="center"/>
            </w:pPr>
            <w:r w:rsidRPr="00B66D58">
              <w:t>Capacité de transformation</w:t>
            </w:r>
          </w:p>
        </w:tc>
        <w:tc>
          <w:tcPr>
            <w:tcW w:w="5976" w:type="dxa"/>
            <w:vAlign w:val="center"/>
          </w:tcPr>
          <w:p w14:paraId="413E2A24" w14:textId="286B2452" w:rsidR="00A93E89" w:rsidRPr="00A628C0" w:rsidRDefault="003459D2" w:rsidP="00F57D68">
            <w:pPr>
              <w:pStyle w:val="table"/>
              <w:spacing w:line="240" w:lineRule="auto"/>
              <w:rPr>
                <w:highlight w:val="yellow"/>
              </w:rPr>
            </w:pPr>
            <w:r w:rsidRPr="003459D2">
              <w:t>L’aptitude à créer un système fondamentalement nouveau lorsque les structures écologiques, économiques ou sociales rendent le système en vigueur intenable</w:t>
            </w:r>
            <w:r>
              <w:t>.</w:t>
            </w:r>
            <w:r w:rsidRPr="003459D2">
              <w:t xml:space="preserve"> </w:t>
            </w:r>
            <w:r w:rsidR="00A93E89" w:rsidRPr="003459D2">
              <w:t>(</w:t>
            </w:r>
            <w:r w:rsidR="00E467D0" w:rsidRPr="003459D2">
              <w:t>OCDE</w:t>
            </w:r>
            <w:r w:rsidR="00A93E89" w:rsidRPr="003459D2">
              <w:t xml:space="preserve"> 2013)</w:t>
            </w:r>
          </w:p>
        </w:tc>
      </w:tr>
    </w:tbl>
    <w:p w14:paraId="7C027511" w14:textId="1A6FFDFE" w:rsidR="00A93E89" w:rsidRPr="00F74CDC" w:rsidRDefault="005536BD" w:rsidP="00E467D0">
      <w:pPr>
        <w:pStyle w:val="Heading4"/>
      </w:pPr>
      <w:r w:rsidRPr="00F74CDC">
        <w:lastRenderedPageBreak/>
        <w:t xml:space="preserve">Conseils sur les parties du manuel dans lesquelles </w:t>
      </w:r>
      <w:r w:rsidR="00E467D0">
        <w:t xml:space="preserve">chaque groupe </w:t>
      </w:r>
      <w:r w:rsidRPr="00F74CDC">
        <w:t>tro</w:t>
      </w:r>
      <w:r w:rsidR="00E467D0">
        <w:t>uvera les informations requises</w:t>
      </w:r>
    </w:p>
    <w:tbl>
      <w:tblPr>
        <w:tblStyle w:val="TableGrid"/>
        <w:tblW w:w="0" w:type="auto"/>
        <w:tblBorders>
          <w:top w:val="dashed" w:sz="4" w:space="0" w:color="579305" w:themeColor="accent1"/>
          <w:left w:val="dashed" w:sz="4" w:space="0" w:color="579305" w:themeColor="accent1"/>
          <w:bottom w:val="dashed" w:sz="4" w:space="0" w:color="579305" w:themeColor="accent1"/>
          <w:right w:val="dashed" w:sz="4" w:space="0" w:color="579305" w:themeColor="accent1"/>
          <w:insideH w:val="dashed" w:sz="4" w:space="0" w:color="579305" w:themeColor="accent1"/>
          <w:insideV w:val="dashed" w:sz="4" w:space="0" w:color="579305" w:themeColor="accent1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826"/>
        <w:gridCol w:w="7802"/>
      </w:tblGrid>
      <w:tr w:rsidR="006D149B" w:rsidRPr="00F74CDC" w14:paraId="0CB7A165" w14:textId="77777777" w:rsidTr="00BB4EC0">
        <w:trPr>
          <w:cantSplit/>
          <w:tblHeader/>
        </w:trPr>
        <w:tc>
          <w:tcPr>
            <w:tcW w:w="1548" w:type="dxa"/>
            <w:shd w:val="clear" w:color="auto" w:fill="E9F7CB" w:themeFill="background2" w:themeFillTint="33"/>
            <w:vAlign w:val="center"/>
          </w:tcPr>
          <w:p w14:paraId="5B89CDA2" w14:textId="67E834AF" w:rsidR="006D149B" w:rsidRPr="00F74CDC" w:rsidRDefault="006D149B" w:rsidP="009D7027">
            <w:pPr>
              <w:pStyle w:val="tableheading"/>
            </w:pPr>
            <w:r w:rsidRPr="00F74CDC">
              <w:t>Group</w:t>
            </w:r>
            <w:r w:rsidR="005536BD" w:rsidRPr="00F74CDC">
              <w:t>e</w:t>
            </w:r>
          </w:p>
        </w:tc>
        <w:tc>
          <w:tcPr>
            <w:tcW w:w="8022" w:type="dxa"/>
            <w:shd w:val="clear" w:color="auto" w:fill="E9F7CB" w:themeFill="background2" w:themeFillTint="33"/>
            <w:vAlign w:val="center"/>
          </w:tcPr>
          <w:p w14:paraId="50A2B2F1" w14:textId="68D81E62" w:rsidR="006D149B" w:rsidRPr="00F74CDC" w:rsidRDefault="006D149B" w:rsidP="005536BD">
            <w:pPr>
              <w:pStyle w:val="tableheading"/>
            </w:pPr>
            <w:r w:rsidRPr="00F74CDC">
              <w:t>R</w:t>
            </w:r>
            <w:r w:rsidR="005536BD" w:rsidRPr="00F74CDC">
              <w:t>éférence</w:t>
            </w:r>
          </w:p>
        </w:tc>
      </w:tr>
      <w:tr w:rsidR="006D149B" w:rsidRPr="00F74CDC" w14:paraId="414582A1" w14:textId="77777777" w:rsidTr="00BB4EC0">
        <w:trPr>
          <w:cantSplit/>
        </w:trPr>
        <w:tc>
          <w:tcPr>
            <w:tcW w:w="1548" w:type="dxa"/>
            <w:vAlign w:val="center"/>
          </w:tcPr>
          <w:p w14:paraId="7BB74AFF" w14:textId="53704203" w:rsidR="006D149B" w:rsidRPr="00F74CDC" w:rsidRDefault="005536BD" w:rsidP="00C62C21">
            <w:pPr>
              <w:pStyle w:val="tableheading"/>
            </w:pPr>
            <w:r w:rsidRPr="00F74CDC">
              <w:t>Atténuation et pr</w:t>
            </w:r>
            <w:r w:rsidR="00C62C21">
              <w:t>é</w:t>
            </w:r>
            <w:r w:rsidRPr="00F74CDC">
              <w:t xml:space="preserve">vention </w:t>
            </w:r>
            <w:r w:rsidR="006D149B" w:rsidRPr="00F74CDC">
              <w:t xml:space="preserve"> </w:t>
            </w:r>
          </w:p>
        </w:tc>
        <w:tc>
          <w:tcPr>
            <w:tcW w:w="8022" w:type="dxa"/>
            <w:vAlign w:val="center"/>
          </w:tcPr>
          <w:p w14:paraId="2BD5B4FE" w14:textId="45BCFA53" w:rsidR="006D149B" w:rsidRPr="00F74CDC" w:rsidRDefault="006D149B" w:rsidP="00C62C21">
            <w:pPr>
              <w:pStyle w:val="tablebullet"/>
            </w:pPr>
            <w:r w:rsidRPr="00F74CDC">
              <w:t>Ex</w:t>
            </w:r>
            <w:r w:rsidR="00F74CDC" w:rsidRPr="00F74CDC">
              <w:t xml:space="preserve">emples de conseils </w:t>
            </w:r>
            <w:r w:rsidR="00C62C21">
              <w:t xml:space="preserve">donnés par </w:t>
            </w:r>
            <w:r w:rsidR="00F74CDC" w:rsidRPr="00F74CDC">
              <w:t>Sphère sur l’atténuation et la pr</w:t>
            </w:r>
            <w:r w:rsidR="00F74CDC">
              <w:t>é</w:t>
            </w:r>
            <w:r w:rsidR="00F74CDC" w:rsidRPr="00F74CDC">
              <w:t xml:space="preserve">vention </w:t>
            </w:r>
          </w:p>
          <w:p w14:paraId="408D3456" w14:textId="3F1A1D92" w:rsidR="006D149B" w:rsidRPr="008919BD" w:rsidRDefault="006D149B" w:rsidP="008919BD">
            <w:pPr>
              <w:pStyle w:val="tablebullet"/>
            </w:pPr>
            <w:r w:rsidRPr="00F74CDC">
              <w:t>p.</w:t>
            </w:r>
            <w:r w:rsidR="00C62C21">
              <w:t xml:space="preserve"> </w:t>
            </w:r>
            <w:r w:rsidR="008919BD">
              <w:t>23</w:t>
            </w:r>
            <w:r w:rsidRPr="008919BD">
              <w:t xml:space="preserve"> </w:t>
            </w:r>
            <w:r w:rsidR="00F74CDC" w:rsidRPr="008919BD">
              <w:t>Charte humanitaire</w:t>
            </w:r>
          </w:p>
          <w:p w14:paraId="041DACB3" w14:textId="68B15F10" w:rsidR="006D149B" w:rsidRPr="008B24A3" w:rsidRDefault="006D149B" w:rsidP="00F74CDC">
            <w:pPr>
              <w:pStyle w:val="tablebullet"/>
            </w:pPr>
            <w:r w:rsidRPr="008B24A3">
              <w:t>P</w:t>
            </w:r>
            <w:r w:rsidR="00F74CDC" w:rsidRPr="008B24A3">
              <w:t>rincipes de P</w:t>
            </w:r>
            <w:r w:rsidRPr="008B24A3">
              <w:t xml:space="preserve">rotection 1 </w:t>
            </w:r>
            <w:r w:rsidR="00F74CDC" w:rsidRPr="008B24A3">
              <w:t>et</w:t>
            </w:r>
            <w:r w:rsidRPr="008B24A3">
              <w:t xml:space="preserve"> 3</w:t>
            </w:r>
          </w:p>
          <w:p w14:paraId="01770042" w14:textId="08CAED4E" w:rsidR="006D149B" w:rsidRPr="008B24A3" w:rsidRDefault="003F0731" w:rsidP="00F74CDC">
            <w:pPr>
              <w:pStyle w:val="tablebullet"/>
            </w:pPr>
            <w:r w:rsidRPr="008B24A3">
              <w:t>p.</w:t>
            </w:r>
            <w:r w:rsidR="00ED3CA3">
              <w:t xml:space="preserve"> </w:t>
            </w:r>
            <w:r w:rsidRPr="008B24A3">
              <w:t xml:space="preserve">16 </w:t>
            </w:r>
            <w:r w:rsidR="00F74CDC" w:rsidRPr="008B24A3">
              <w:t>Thème transversal</w:t>
            </w:r>
            <w:r w:rsidR="008C083F" w:rsidRPr="008B24A3">
              <w:t xml:space="preserve"> : </w:t>
            </w:r>
            <w:r w:rsidR="00F74CDC" w:rsidRPr="008B24A3">
              <w:t>« </w:t>
            </w:r>
            <w:r w:rsidR="008C083F" w:rsidRPr="008B24A3">
              <w:t>r</w:t>
            </w:r>
            <w:r w:rsidR="00F74CDC" w:rsidRPr="008B24A3">
              <w:t xml:space="preserve">éduction des risques de catastrophe » </w:t>
            </w:r>
          </w:p>
          <w:p w14:paraId="4D51A46A" w14:textId="543DB5AC" w:rsidR="006D149B" w:rsidRPr="008B24A3" w:rsidRDefault="00F74CDC" w:rsidP="00F74CDC">
            <w:pPr>
              <w:pStyle w:val="tablebullet"/>
            </w:pPr>
            <w:r w:rsidRPr="008B24A3">
              <w:t xml:space="preserve">Chapitres techniques </w:t>
            </w:r>
            <w:r w:rsidR="006D149B" w:rsidRPr="008B24A3">
              <w:t>: WASH, p.</w:t>
            </w:r>
            <w:r w:rsidR="00491CA6" w:rsidRPr="008B24A3">
              <w:t xml:space="preserve"> </w:t>
            </w:r>
            <w:r w:rsidRPr="008B24A3">
              <w:t>100 </w:t>
            </w:r>
            <w:r w:rsidR="006D149B" w:rsidRPr="008B24A3">
              <w:t xml:space="preserve">; </w:t>
            </w:r>
            <w:r w:rsidR="00763E9A" w:rsidRPr="008B24A3">
              <w:t>n</w:t>
            </w:r>
            <w:r w:rsidRPr="008B24A3">
              <w:t>ote d’orientation</w:t>
            </w:r>
            <w:r w:rsidR="006D149B" w:rsidRPr="008B24A3">
              <w:t xml:space="preserve"> 4, p.</w:t>
            </w:r>
            <w:r w:rsidR="00491CA6" w:rsidRPr="008B24A3">
              <w:t xml:space="preserve"> </w:t>
            </w:r>
            <w:r w:rsidR="003F0731" w:rsidRPr="008B24A3">
              <w:t>112</w:t>
            </w:r>
            <w:r w:rsidR="006D149B" w:rsidRPr="008B24A3">
              <w:t xml:space="preserve">; </w:t>
            </w:r>
            <w:r w:rsidR="00763E9A" w:rsidRPr="008B24A3">
              <w:t>l</w:t>
            </w:r>
            <w:r w:rsidRPr="008B24A3">
              <w:t>utte antivectorielle</w:t>
            </w:r>
            <w:r w:rsidR="00491CA6" w:rsidRPr="008B24A3">
              <w:t>,</w:t>
            </w:r>
            <w:r w:rsidRPr="008B24A3">
              <w:t xml:space="preserve"> </w:t>
            </w:r>
            <w:r w:rsidR="00491CA6" w:rsidRPr="008B24A3">
              <w:t>s</w:t>
            </w:r>
            <w:r w:rsidR="00AB1708" w:rsidRPr="008B24A3">
              <w:t>tandard</w:t>
            </w:r>
            <w:r w:rsidR="006D149B" w:rsidRPr="008B24A3">
              <w:t xml:space="preserve"> 1, p.</w:t>
            </w:r>
            <w:r w:rsidR="00491CA6" w:rsidRPr="008B24A3">
              <w:t xml:space="preserve"> </w:t>
            </w:r>
            <w:r w:rsidR="003F0731" w:rsidRPr="008B24A3">
              <w:t>128</w:t>
            </w:r>
          </w:p>
          <w:p w14:paraId="41C51864" w14:textId="3C8AB404" w:rsidR="006D149B" w:rsidRPr="00F74CDC" w:rsidRDefault="006D149B" w:rsidP="00763E9A">
            <w:pPr>
              <w:pStyle w:val="tablebullet"/>
            </w:pPr>
            <w:r w:rsidRPr="008B24A3">
              <w:t>p.</w:t>
            </w:r>
            <w:r w:rsidR="00491CA6" w:rsidRPr="008B24A3">
              <w:t xml:space="preserve"> </w:t>
            </w:r>
            <w:r w:rsidR="003F0731" w:rsidRPr="008B24A3">
              <w:t>199</w:t>
            </w:r>
            <w:r w:rsidRPr="008B24A3">
              <w:t xml:space="preserve"> </w:t>
            </w:r>
            <w:r w:rsidR="00763E9A" w:rsidRPr="008B24A3">
              <w:t>n</w:t>
            </w:r>
            <w:r w:rsidRPr="008B24A3">
              <w:t>utrition</w:t>
            </w:r>
          </w:p>
        </w:tc>
      </w:tr>
      <w:tr w:rsidR="006D149B" w:rsidRPr="00F74CDC" w14:paraId="29235B37" w14:textId="77777777" w:rsidTr="00BB4EC0">
        <w:trPr>
          <w:cantSplit/>
        </w:trPr>
        <w:tc>
          <w:tcPr>
            <w:tcW w:w="1548" w:type="dxa"/>
            <w:vAlign w:val="center"/>
          </w:tcPr>
          <w:p w14:paraId="22B12D36" w14:textId="6D2DFC14" w:rsidR="006D149B" w:rsidRPr="00F74CDC" w:rsidRDefault="00C62C21" w:rsidP="009D7027">
            <w:pPr>
              <w:pStyle w:val="tableheading"/>
            </w:pPr>
            <w:r>
              <w:t>P</w:t>
            </w:r>
            <w:r w:rsidR="00A03E4F" w:rsidRPr="00F74CDC">
              <w:t>réparation</w:t>
            </w:r>
          </w:p>
        </w:tc>
        <w:tc>
          <w:tcPr>
            <w:tcW w:w="8022" w:type="dxa"/>
            <w:vAlign w:val="center"/>
          </w:tcPr>
          <w:p w14:paraId="10D6B581" w14:textId="2953EFDE" w:rsidR="006D149B" w:rsidRPr="00ED3CA3" w:rsidRDefault="006D149B" w:rsidP="00763E9A">
            <w:pPr>
              <w:pStyle w:val="tablebullet"/>
            </w:pPr>
            <w:r w:rsidRPr="00ED3CA3">
              <w:t>p.</w:t>
            </w:r>
            <w:r w:rsidR="00491CA6" w:rsidRPr="00ED3CA3">
              <w:t xml:space="preserve"> </w:t>
            </w:r>
            <w:r w:rsidRPr="00ED3CA3">
              <w:t xml:space="preserve">5 </w:t>
            </w:r>
            <w:r w:rsidR="00AB1708" w:rsidRPr="00ED3CA3">
              <w:t>et</w:t>
            </w:r>
            <w:r w:rsidRPr="00ED3CA3">
              <w:t xml:space="preserve"> </w:t>
            </w:r>
            <w:r w:rsidR="003F0731" w:rsidRPr="00ED3CA3">
              <w:t>11</w:t>
            </w:r>
            <w:r w:rsidRPr="00ED3CA3">
              <w:t xml:space="preserve"> </w:t>
            </w:r>
            <w:r w:rsidR="00763E9A" w:rsidRPr="00ED3CA3">
              <w:t>i</w:t>
            </w:r>
            <w:r w:rsidRPr="00ED3CA3">
              <w:t>ntroduction</w:t>
            </w:r>
          </w:p>
          <w:p w14:paraId="17FDD029" w14:textId="7BC18E75" w:rsidR="006D149B" w:rsidRPr="00ED3CA3" w:rsidRDefault="006D149B" w:rsidP="00763E9A">
            <w:pPr>
              <w:pStyle w:val="tablebullet"/>
            </w:pPr>
            <w:r w:rsidRPr="00ED3CA3">
              <w:t>p.</w:t>
            </w:r>
            <w:r w:rsidR="00C62C21" w:rsidRPr="00ED3CA3">
              <w:t xml:space="preserve"> 16</w:t>
            </w:r>
            <w:r w:rsidRPr="00ED3CA3">
              <w:t xml:space="preserve"> </w:t>
            </w:r>
            <w:r w:rsidR="00763E9A" w:rsidRPr="00ED3CA3">
              <w:t>t</w:t>
            </w:r>
            <w:r w:rsidR="008C083F" w:rsidRPr="00ED3CA3">
              <w:t xml:space="preserve">hème transversal : « réduction des risques de catastrophe » </w:t>
            </w:r>
          </w:p>
          <w:p w14:paraId="7F277481" w14:textId="7F85DFC6" w:rsidR="006D149B" w:rsidRPr="00ED3CA3" w:rsidRDefault="008C083F" w:rsidP="00763E9A">
            <w:pPr>
              <w:pStyle w:val="tablebullet"/>
            </w:pPr>
            <w:r w:rsidRPr="00ED3CA3">
              <w:t>p.</w:t>
            </w:r>
            <w:r w:rsidR="00491CA6" w:rsidRPr="00ED3CA3">
              <w:t xml:space="preserve"> </w:t>
            </w:r>
            <w:r w:rsidR="00C62C21" w:rsidRPr="00ED3CA3">
              <w:t>60</w:t>
            </w:r>
            <w:r w:rsidRPr="00ED3CA3">
              <w:t xml:space="preserve"> </w:t>
            </w:r>
            <w:r w:rsidR="00763E9A" w:rsidRPr="00ED3CA3">
              <w:t>v</w:t>
            </w:r>
            <w:r w:rsidRPr="00ED3CA3">
              <w:t>ulnérabilité</w:t>
            </w:r>
          </w:p>
          <w:p w14:paraId="27AD813C" w14:textId="3E4F0037" w:rsidR="006D149B" w:rsidRPr="00ED3CA3" w:rsidRDefault="006D149B" w:rsidP="00C62C21">
            <w:pPr>
              <w:pStyle w:val="tablebullet"/>
            </w:pPr>
            <w:r w:rsidRPr="00ED3CA3">
              <w:t>p.</w:t>
            </w:r>
            <w:r w:rsidR="00491CA6" w:rsidRPr="00ED3CA3">
              <w:t xml:space="preserve"> </w:t>
            </w:r>
            <w:r w:rsidR="00472F2A" w:rsidRPr="00ED3CA3">
              <w:t>71</w:t>
            </w:r>
            <w:r w:rsidRPr="00ED3CA3">
              <w:t xml:space="preserve"> </w:t>
            </w:r>
            <w:r w:rsidR="008C083F" w:rsidRPr="00ED3CA3">
              <w:t>standard essentiel</w:t>
            </w:r>
            <w:r w:rsidRPr="00ED3CA3">
              <w:t xml:space="preserve"> 3, </w:t>
            </w:r>
            <w:r w:rsidR="008E0263" w:rsidRPr="00ED3CA3">
              <w:t xml:space="preserve">Évaluation </w:t>
            </w:r>
            <w:r w:rsidRPr="00ED3CA3">
              <w:t>; p.</w:t>
            </w:r>
            <w:r w:rsidR="00491CA6" w:rsidRPr="00ED3CA3">
              <w:t xml:space="preserve"> </w:t>
            </w:r>
            <w:r w:rsidR="00472F2A" w:rsidRPr="00ED3CA3">
              <w:t>78</w:t>
            </w:r>
            <w:r w:rsidRPr="00ED3CA3">
              <w:t xml:space="preserve"> </w:t>
            </w:r>
            <w:r w:rsidR="008C083F" w:rsidRPr="00ED3CA3">
              <w:t>standard essentiel</w:t>
            </w:r>
            <w:r w:rsidRPr="00ED3CA3">
              <w:t xml:space="preserve"> 4, </w:t>
            </w:r>
            <w:r w:rsidR="008E0263" w:rsidRPr="00ED3CA3">
              <w:t>conception et intervention </w:t>
            </w:r>
            <w:r w:rsidR="00C62C21" w:rsidRPr="00ED3CA3">
              <w:t xml:space="preserve">proprement dite </w:t>
            </w:r>
            <w:r w:rsidR="008E0263" w:rsidRPr="00ED3CA3">
              <w:t>;</w:t>
            </w:r>
            <w:r w:rsidRPr="00ED3CA3">
              <w:t xml:space="preserve"> p.</w:t>
            </w:r>
            <w:r w:rsidR="00472F2A" w:rsidRPr="00ED3CA3">
              <w:t xml:space="preserve"> 85</w:t>
            </w:r>
            <w:r w:rsidRPr="00ED3CA3">
              <w:t xml:space="preserve"> </w:t>
            </w:r>
            <w:r w:rsidR="008C083F" w:rsidRPr="00ED3CA3">
              <w:t>standard essentiel</w:t>
            </w:r>
            <w:r w:rsidRPr="00ED3CA3">
              <w:t xml:space="preserve"> 6, </w:t>
            </w:r>
            <w:r w:rsidR="00C62C21" w:rsidRPr="00ED3CA3">
              <w:t>performance</w:t>
            </w:r>
            <w:r w:rsidR="008E0263" w:rsidRPr="00ED3CA3">
              <w:t xml:space="preserve"> des travailleurs humanitaires</w:t>
            </w:r>
          </w:p>
          <w:p w14:paraId="4643A4C0" w14:textId="49925F59" w:rsidR="006D149B" w:rsidRPr="00ED3CA3" w:rsidRDefault="006D149B" w:rsidP="008E0263">
            <w:pPr>
              <w:pStyle w:val="tablebullet"/>
            </w:pPr>
            <w:r w:rsidRPr="00ED3CA3">
              <w:t>p.</w:t>
            </w:r>
            <w:r w:rsidR="00C62C21" w:rsidRPr="00ED3CA3">
              <w:t xml:space="preserve"> </w:t>
            </w:r>
            <w:r w:rsidR="00472F2A" w:rsidRPr="00ED3CA3">
              <w:t>92</w:t>
            </w:r>
            <w:r w:rsidRPr="00ED3CA3">
              <w:t xml:space="preserve"> </w:t>
            </w:r>
            <w:r w:rsidR="008E0263" w:rsidRPr="00ED3CA3">
              <w:t>et</w:t>
            </w:r>
            <w:r w:rsidR="00472F2A" w:rsidRPr="00ED3CA3">
              <w:t xml:space="preserve"> 97</w:t>
            </w:r>
            <w:r w:rsidRPr="00ED3CA3">
              <w:t>, r</w:t>
            </w:r>
            <w:r w:rsidR="008E0263" w:rsidRPr="00ED3CA3">
              <w:t>epris dans l’introduction de chaque chapitre technique</w:t>
            </w:r>
          </w:p>
          <w:p w14:paraId="0220387A" w14:textId="0A4B01BB" w:rsidR="006D149B" w:rsidRPr="00ED3CA3" w:rsidRDefault="00472F2A" w:rsidP="008E0263">
            <w:pPr>
              <w:pStyle w:val="tablebullet"/>
            </w:pPr>
            <w:r w:rsidRPr="00ED3CA3">
              <w:t xml:space="preserve">p. 363 </w:t>
            </w:r>
            <w:r w:rsidR="008E0263" w:rsidRPr="00ED3CA3">
              <w:t>Santé</w:t>
            </w:r>
          </w:p>
        </w:tc>
      </w:tr>
      <w:tr w:rsidR="006D149B" w:rsidRPr="00F74CDC" w14:paraId="286EBAF5" w14:textId="77777777" w:rsidTr="00BB4EC0">
        <w:trPr>
          <w:cantSplit/>
        </w:trPr>
        <w:tc>
          <w:tcPr>
            <w:tcW w:w="1548" w:type="dxa"/>
            <w:vAlign w:val="center"/>
          </w:tcPr>
          <w:p w14:paraId="4C6F1DFB" w14:textId="7DE2B9B6" w:rsidR="006D149B" w:rsidRPr="00F74CDC" w:rsidRDefault="006D149B" w:rsidP="008C083F">
            <w:pPr>
              <w:pStyle w:val="tableheading"/>
            </w:pPr>
            <w:r w:rsidRPr="00F74CDC">
              <w:t>Pr</w:t>
            </w:r>
            <w:r w:rsidR="008C083F">
              <w:t>édiction et alerte précoce</w:t>
            </w:r>
          </w:p>
        </w:tc>
        <w:tc>
          <w:tcPr>
            <w:tcW w:w="8022" w:type="dxa"/>
            <w:vAlign w:val="center"/>
          </w:tcPr>
          <w:p w14:paraId="1FA70709" w14:textId="14E74EE9" w:rsidR="006D149B" w:rsidRPr="00ED3CA3" w:rsidRDefault="006D149B" w:rsidP="00C62C21">
            <w:pPr>
              <w:pStyle w:val="tablebullet"/>
            </w:pPr>
            <w:r w:rsidRPr="00ED3CA3">
              <w:t>p.</w:t>
            </w:r>
            <w:r w:rsidR="00ED3CA3" w:rsidRPr="00ED3CA3">
              <w:t xml:space="preserve"> 71</w:t>
            </w:r>
            <w:r w:rsidRPr="00ED3CA3">
              <w:t xml:space="preserve"> </w:t>
            </w:r>
            <w:r w:rsidR="008C083F" w:rsidRPr="00ED3CA3">
              <w:t xml:space="preserve"> standard essentiel</w:t>
            </w:r>
            <w:r w:rsidRPr="00ED3CA3">
              <w:t xml:space="preserve"> 3, </w:t>
            </w:r>
            <w:r w:rsidR="008C083F" w:rsidRPr="00ED3CA3">
              <w:t xml:space="preserve">évaluation </w:t>
            </w:r>
            <w:r w:rsidRPr="00ED3CA3">
              <w:t>; p.</w:t>
            </w:r>
            <w:r w:rsidR="00ED3CA3" w:rsidRPr="00ED3CA3">
              <w:t xml:space="preserve"> 78</w:t>
            </w:r>
            <w:r w:rsidRPr="00ED3CA3">
              <w:t xml:space="preserve"> </w:t>
            </w:r>
            <w:r w:rsidR="008C083F" w:rsidRPr="00ED3CA3">
              <w:t>standard essentiel</w:t>
            </w:r>
            <w:r w:rsidRPr="00ED3CA3">
              <w:t xml:space="preserve"> 4, </w:t>
            </w:r>
            <w:r w:rsidR="00763E9A" w:rsidRPr="00ED3CA3">
              <w:t>c</w:t>
            </w:r>
            <w:r w:rsidR="008C083F" w:rsidRPr="00ED3CA3">
              <w:t>onception et intervention proprement dite</w:t>
            </w:r>
          </w:p>
          <w:p w14:paraId="65C5AFCC" w14:textId="1E82782A" w:rsidR="006D149B" w:rsidRPr="00ED3CA3" w:rsidRDefault="006D149B" w:rsidP="008C083F">
            <w:pPr>
              <w:pStyle w:val="tablebullet"/>
            </w:pPr>
            <w:r w:rsidRPr="00ED3CA3">
              <w:t>p.</w:t>
            </w:r>
            <w:r w:rsidR="00ED3CA3" w:rsidRPr="00ED3CA3">
              <w:t>97</w:t>
            </w:r>
            <w:r w:rsidRPr="00ED3CA3">
              <w:t xml:space="preserve"> </w:t>
            </w:r>
            <w:r w:rsidR="00763E9A" w:rsidRPr="00ED3CA3">
              <w:t>c</w:t>
            </w:r>
            <w:r w:rsidR="008C083F" w:rsidRPr="00ED3CA3">
              <w:t>hapitre technique</w:t>
            </w:r>
            <w:r w:rsidRPr="00ED3CA3">
              <w:t>, WASH, r</w:t>
            </w:r>
            <w:r w:rsidR="008C083F" w:rsidRPr="00ED3CA3">
              <w:t xml:space="preserve">épété dans l’introduction de chaque chapitre technique </w:t>
            </w:r>
          </w:p>
          <w:p w14:paraId="6BF6028B" w14:textId="3C5F24FD" w:rsidR="006D149B" w:rsidRPr="00ED3CA3" w:rsidRDefault="006D149B" w:rsidP="00993E5B">
            <w:pPr>
              <w:pStyle w:val="tablebullet"/>
            </w:pPr>
            <w:r w:rsidRPr="00ED3CA3">
              <w:t>p.</w:t>
            </w:r>
            <w:r w:rsidR="00ED3CA3" w:rsidRPr="00ED3CA3">
              <w:t xml:space="preserve">174 </w:t>
            </w:r>
            <w:r w:rsidR="00763E9A" w:rsidRPr="00ED3CA3">
              <w:t>s</w:t>
            </w:r>
            <w:r w:rsidR="008E0263" w:rsidRPr="00ED3CA3">
              <w:t>écurité alimentaire </w:t>
            </w:r>
            <w:r w:rsidR="00ED3CA3" w:rsidRPr="00ED3CA3">
              <w:t>; p. 177</w:t>
            </w:r>
            <w:r w:rsidRPr="00ED3CA3">
              <w:t xml:space="preserve"> </w:t>
            </w:r>
            <w:r w:rsidR="00763E9A" w:rsidRPr="00ED3CA3">
              <w:t>n</w:t>
            </w:r>
            <w:r w:rsidR="008E0263" w:rsidRPr="00ED3CA3">
              <w:t>ote d’orientation</w:t>
            </w:r>
            <w:r w:rsidRPr="00ED3CA3">
              <w:t xml:space="preserve"> 1, </w:t>
            </w:r>
            <w:r w:rsidR="00993E5B" w:rsidRPr="00ED3CA3">
              <w:t>n</w:t>
            </w:r>
            <w:r w:rsidRPr="00ED3CA3">
              <w:t>utrition</w:t>
            </w:r>
          </w:p>
          <w:p w14:paraId="57CC7BBE" w14:textId="6B319C8E" w:rsidR="006D149B" w:rsidRPr="00ED3CA3" w:rsidRDefault="006D149B" w:rsidP="00A12EC0">
            <w:pPr>
              <w:pStyle w:val="tablebullet"/>
            </w:pPr>
            <w:r w:rsidRPr="00ED3CA3">
              <w:t>p.</w:t>
            </w:r>
            <w:r w:rsidR="00A12EC0" w:rsidRPr="00ED3CA3">
              <w:t xml:space="preserve"> </w:t>
            </w:r>
            <w:r w:rsidRPr="00ED3CA3">
              <w:t>3</w:t>
            </w:r>
            <w:r w:rsidR="00ED3CA3" w:rsidRPr="00ED3CA3">
              <w:t>50</w:t>
            </w:r>
            <w:r w:rsidRPr="00ED3CA3">
              <w:t xml:space="preserve"> </w:t>
            </w:r>
            <w:r w:rsidR="008E0263" w:rsidRPr="00ED3CA3">
              <w:t>sur la gestion de</w:t>
            </w:r>
            <w:r w:rsidR="00A12EC0" w:rsidRPr="00ED3CA3">
              <w:t xml:space="preserve"> l’information sanitaire</w:t>
            </w:r>
          </w:p>
          <w:p w14:paraId="5DDDFE39" w14:textId="1658D5C2" w:rsidR="006D149B" w:rsidRPr="00ED3CA3" w:rsidRDefault="006D149B" w:rsidP="00ED3CA3">
            <w:pPr>
              <w:pStyle w:val="tablebullet"/>
            </w:pPr>
            <w:r w:rsidRPr="00ED3CA3">
              <w:t>p.</w:t>
            </w:r>
            <w:r w:rsidR="00A12EC0" w:rsidRPr="00ED3CA3">
              <w:t xml:space="preserve"> </w:t>
            </w:r>
            <w:r w:rsidR="00ED3CA3" w:rsidRPr="00ED3CA3">
              <w:t>364</w:t>
            </w:r>
            <w:r w:rsidRPr="00ED3CA3">
              <w:t xml:space="preserve"> </w:t>
            </w:r>
            <w:r w:rsidR="00763E9A" w:rsidRPr="00ED3CA3">
              <w:t>n</w:t>
            </w:r>
            <w:r w:rsidR="008E0263" w:rsidRPr="00ED3CA3">
              <w:t>ote d’orientation sur un système d’alerte précoce pour la détection des flambées</w:t>
            </w:r>
          </w:p>
        </w:tc>
      </w:tr>
      <w:tr w:rsidR="006D149B" w:rsidRPr="00F74CDC" w14:paraId="09408CBE" w14:textId="77777777" w:rsidTr="00BB4EC0">
        <w:trPr>
          <w:cantSplit/>
        </w:trPr>
        <w:tc>
          <w:tcPr>
            <w:tcW w:w="1548" w:type="dxa"/>
            <w:vAlign w:val="center"/>
          </w:tcPr>
          <w:p w14:paraId="3B071236" w14:textId="613802D0" w:rsidR="006D149B" w:rsidRPr="00F74CDC" w:rsidRDefault="008C083F" w:rsidP="009D7027">
            <w:pPr>
              <w:pStyle w:val="tableheading"/>
            </w:pPr>
            <w:r>
              <w:t>Évaluation de l’impact</w:t>
            </w:r>
          </w:p>
        </w:tc>
        <w:tc>
          <w:tcPr>
            <w:tcW w:w="8022" w:type="dxa"/>
            <w:vAlign w:val="center"/>
          </w:tcPr>
          <w:p w14:paraId="195266DB" w14:textId="13B71C84" w:rsidR="006D149B" w:rsidRPr="00F74CDC" w:rsidRDefault="00ED3CA3" w:rsidP="00491CA6">
            <w:pPr>
              <w:pStyle w:val="tablebullet"/>
            </w:pPr>
            <w:r w:rsidRPr="00ED3CA3">
              <w:t>Guide de Sphère pour les é</w:t>
            </w:r>
            <w:r w:rsidR="00491CA6" w:rsidRPr="00ED3CA3">
              <w:t>valuation</w:t>
            </w:r>
            <w:r w:rsidRPr="00ED3CA3">
              <w:t>s</w:t>
            </w:r>
          </w:p>
        </w:tc>
      </w:tr>
      <w:tr w:rsidR="006D149B" w:rsidRPr="00F74CDC" w14:paraId="7EAFD1BD" w14:textId="77777777" w:rsidTr="00BB4EC0">
        <w:trPr>
          <w:cantSplit/>
        </w:trPr>
        <w:tc>
          <w:tcPr>
            <w:tcW w:w="1548" w:type="dxa"/>
            <w:vAlign w:val="center"/>
          </w:tcPr>
          <w:p w14:paraId="0C641CCF" w14:textId="4B4A5366" w:rsidR="006D149B" w:rsidRPr="00F74CDC" w:rsidRDefault="008C083F" w:rsidP="009D7027">
            <w:pPr>
              <w:pStyle w:val="tableheading"/>
            </w:pPr>
            <w:r>
              <w:t>Intervention</w:t>
            </w:r>
          </w:p>
        </w:tc>
        <w:tc>
          <w:tcPr>
            <w:tcW w:w="8022" w:type="dxa"/>
            <w:vAlign w:val="center"/>
          </w:tcPr>
          <w:p w14:paraId="78526D93" w14:textId="0AB10C65" w:rsidR="006D149B" w:rsidRPr="00F74CDC" w:rsidRDefault="008C083F" w:rsidP="009D7027">
            <w:pPr>
              <w:pStyle w:val="tablebullet"/>
            </w:pPr>
            <w:r>
              <w:t>Titre du manuel</w:t>
            </w:r>
          </w:p>
          <w:p w14:paraId="77B1E51F" w14:textId="4898E19A" w:rsidR="006D149B" w:rsidRPr="00F74CDC" w:rsidRDefault="008C083F" w:rsidP="008C083F">
            <w:pPr>
              <w:pStyle w:val="tablebullet"/>
            </w:pPr>
            <w:r>
              <w:t xml:space="preserve">Parcourir le chapitre « Qu’est-ce que le Projet Sphère ? » qui met en relief différentes parties du manuel de Sphère et confirmer si chaque partie mentionne l’utilisation du manuel de Sphère pour « Intervention ». Choisissez quelques exemples tirés de différentes parties du manuel. </w:t>
            </w:r>
            <w:r w:rsidR="006D149B" w:rsidRPr="00F74CDC">
              <w:t xml:space="preserve"> </w:t>
            </w:r>
          </w:p>
        </w:tc>
      </w:tr>
      <w:tr w:rsidR="006D149B" w:rsidRPr="00F74CDC" w14:paraId="37798706" w14:textId="77777777" w:rsidTr="00BB4EC0">
        <w:trPr>
          <w:cantSplit/>
        </w:trPr>
        <w:tc>
          <w:tcPr>
            <w:tcW w:w="1548" w:type="dxa"/>
            <w:vAlign w:val="center"/>
          </w:tcPr>
          <w:p w14:paraId="3A0E4D0D" w14:textId="13543FA1" w:rsidR="006D149B" w:rsidRPr="00F74CDC" w:rsidRDefault="006D149B" w:rsidP="008C083F">
            <w:pPr>
              <w:pStyle w:val="tableheading"/>
            </w:pPr>
            <w:r w:rsidRPr="00F74CDC">
              <w:t>Re</w:t>
            </w:r>
            <w:r w:rsidR="008C083F">
              <w:t xml:space="preserve">lèvement et </w:t>
            </w:r>
            <w:r w:rsidR="00A12EC0">
              <w:t>r</w:t>
            </w:r>
            <w:r w:rsidRPr="00F74CDC">
              <w:t>econstruction</w:t>
            </w:r>
          </w:p>
        </w:tc>
        <w:tc>
          <w:tcPr>
            <w:tcW w:w="8022" w:type="dxa"/>
            <w:vAlign w:val="center"/>
          </w:tcPr>
          <w:p w14:paraId="4F631421" w14:textId="5AAD89D1" w:rsidR="006D149B" w:rsidRPr="00ED3CA3" w:rsidRDefault="006D149B" w:rsidP="009D7027">
            <w:pPr>
              <w:pStyle w:val="tablebullet"/>
            </w:pPr>
            <w:r w:rsidRPr="00F74CDC">
              <w:t>p.</w:t>
            </w:r>
            <w:r w:rsidR="00491CA6">
              <w:t xml:space="preserve"> </w:t>
            </w:r>
            <w:r w:rsidR="00ED3CA3" w:rsidRPr="00ED3CA3">
              <w:t>11</w:t>
            </w:r>
            <w:r w:rsidRPr="00ED3CA3">
              <w:t xml:space="preserve"> Introduction</w:t>
            </w:r>
          </w:p>
          <w:p w14:paraId="59741C44" w14:textId="176ABC38" w:rsidR="008C083F" w:rsidRPr="00ED3CA3" w:rsidRDefault="006D149B" w:rsidP="008C083F">
            <w:pPr>
              <w:pStyle w:val="tablebullet"/>
            </w:pPr>
            <w:r w:rsidRPr="00ED3CA3">
              <w:t>p.</w:t>
            </w:r>
            <w:r w:rsidR="00491CA6" w:rsidRPr="00ED3CA3">
              <w:t xml:space="preserve"> </w:t>
            </w:r>
            <w:r w:rsidR="008C083F" w:rsidRPr="00ED3CA3">
              <w:t xml:space="preserve">78 Relèvement précoce et réduction des risques de catastrophe </w:t>
            </w:r>
          </w:p>
          <w:p w14:paraId="51AEBC45" w14:textId="50956781" w:rsidR="006D149B" w:rsidRPr="00F74CDC" w:rsidRDefault="006D149B" w:rsidP="00A12EC0">
            <w:pPr>
              <w:pStyle w:val="tablebullet"/>
            </w:pPr>
            <w:r w:rsidRPr="00ED3CA3">
              <w:t>p.</w:t>
            </w:r>
            <w:r w:rsidR="00491CA6" w:rsidRPr="00ED3CA3">
              <w:t xml:space="preserve"> </w:t>
            </w:r>
            <w:r w:rsidR="00A12EC0" w:rsidRPr="00ED3CA3">
              <w:t>60</w:t>
            </w:r>
            <w:r w:rsidRPr="00ED3CA3">
              <w:t xml:space="preserve"> Vuln</w:t>
            </w:r>
            <w:r w:rsidR="008C083F" w:rsidRPr="00ED3CA3">
              <w:t>érabilité</w:t>
            </w:r>
          </w:p>
        </w:tc>
      </w:tr>
    </w:tbl>
    <w:p w14:paraId="6EC3B327" w14:textId="77777777" w:rsidR="006D149B" w:rsidRPr="00F74CDC" w:rsidRDefault="006D149B" w:rsidP="006D149B"/>
    <w:sectPr w:rsidR="006D149B" w:rsidRPr="00F74CDC" w:rsidSect="00F516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418" w:right="1247" w:bottom="851" w:left="1247" w:header="709" w:footer="45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B702D2" w14:textId="77777777" w:rsidR="004C7537" w:rsidRDefault="004C7537" w:rsidP="002848CC">
      <w:pPr>
        <w:spacing w:before="0"/>
      </w:pPr>
      <w:r>
        <w:separator/>
      </w:r>
    </w:p>
  </w:endnote>
  <w:endnote w:type="continuationSeparator" w:id="0">
    <w:p w14:paraId="54A5A32B" w14:textId="77777777" w:rsidR="004C7537" w:rsidRDefault="004C7537" w:rsidP="002848C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0F9B59" w14:textId="517279CF" w:rsidR="007A7ACB" w:rsidRPr="004F1D9A" w:rsidRDefault="007A7ACB" w:rsidP="00F51600">
    <w:pPr>
      <w:pStyle w:val="Footer"/>
    </w:pPr>
    <w:r w:rsidRPr="00F97BB3">
      <w:t>Module B3: Sphere, Disaster Risk Reduction/Management and resilience. Sphere Training Package 2015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572AFE" w14:textId="78AAB346" w:rsidR="007A7ACB" w:rsidRPr="00E467D0" w:rsidRDefault="00F51600" w:rsidP="00E467D0">
    <w:pPr>
      <w:pStyle w:val="Footer"/>
    </w:pPr>
    <w:r w:rsidRPr="00E467D0">
      <w:t>M</w:t>
    </w:r>
    <w:r w:rsidR="00175CA3" w:rsidRPr="00E467D0">
      <w:t xml:space="preserve">odule B3 – </w:t>
    </w:r>
    <w:r w:rsidR="00E467D0" w:rsidRPr="00E467D0">
      <w:t>Sphè</w:t>
    </w:r>
    <w:r w:rsidRPr="00E467D0">
      <w:t xml:space="preserve">re, </w:t>
    </w:r>
    <w:r w:rsidR="00E467D0" w:rsidRPr="00E467D0">
      <w:t xml:space="preserve">la </w:t>
    </w:r>
    <w:r w:rsidR="00E467D0">
      <w:t>ré</w:t>
    </w:r>
    <w:r w:rsidR="00E467D0" w:rsidRPr="00E467D0">
      <w:t>duction/gestion des</w:t>
    </w:r>
    <w:r w:rsidR="00E467D0">
      <w:t xml:space="preserve"> risques de catastrophe</w:t>
    </w:r>
    <w:r w:rsidR="00763E9A">
      <w:t xml:space="preserve"> et la résilience</w:t>
    </w:r>
    <w:r w:rsidR="00F57D68">
      <w:br/>
    </w:r>
    <w:r w:rsidR="00E467D0">
      <w:t>Pack de formation Sphère</w:t>
    </w:r>
    <w:r w:rsidRPr="00E467D0">
      <w:t xml:space="preserve"> 2015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4031B5" w14:textId="480BBDD8" w:rsidR="007A7ACB" w:rsidRPr="00071A20" w:rsidRDefault="007A7ACB" w:rsidP="00F57D68">
    <w:pPr>
      <w:pStyle w:val="Footer"/>
    </w:pPr>
    <w:r w:rsidRPr="00071A20">
      <w:t>M</w:t>
    </w:r>
    <w:r w:rsidR="00175CA3" w:rsidRPr="00071A20">
      <w:t xml:space="preserve">odule B3 – </w:t>
    </w:r>
    <w:r w:rsidRPr="00071A20">
      <w:t>Sph</w:t>
    </w:r>
    <w:r w:rsidR="00071A20" w:rsidRPr="00071A20">
      <w:t xml:space="preserve">ère, la </w:t>
    </w:r>
    <w:r w:rsidR="00071A20">
      <w:t>ré</w:t>
    </w:r>
    <w:r w:rsidR="00071A20" w:rsidRPr="00071A20">
      <w:t>duction/</w:t>
    </w:r>
    <w:r w:rsidR="00071A20">
      <w:t>gestion des risques de catastrophe et la résilience</w:t>
    </w:r>
    <w:r w:rsidR="00F57D68">
      <w:br/>
    </w:r>
    <w:r w:rsidR="00071A20" w:rsidRPr="00071A20">
      <w:t>Pack de formation Sphère</w:t>
    </w:r>
    <w:r w:rsidRPr="00071A20">
      <w:t xml:space="preserve"> 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1499FF" w14:textId="77777777" w:rsidR="004C7537" w:rsidRDefault="004C7537" w:rsidP="002848CC">
      <w:pPr>
        <w:spacing w:before="0"/>
      </w:pPr>
      <w:r>
        <w:separator/>
      </w:r>
    </w:p>
  </w:footnote>
  <w:footnote w:type="continuationSeparator" w:id="0">
    <w:p w14:paraId="2DA10AE1" w14:textId="77777777" w:rsidR="004C7537" w:rsidRDefault="004C7537" w:rsidP="002848C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FBBB23" w14:textId="23C80A82" w:rsidR="007A7ACB" w:rsidRPr="004F1D9A" w:rsidRDefault="00C03D04" w:rsidP="00891199">
    <w:pPr>
      <w:pStyle w:val="Header"/>
    </w:pPr>
    <w:r>
      <w:t>Fiches</w:t>
    </w:r>
    <w:r w:rsidR="007A7ACB">
      <w:tab/>
    </w:r>
    <w:r w:rsidR="007A7ACB" w:rsidRPr="003E013F">
      <w:rPr>
        <w:rStyle w:val="logobaselineshift"/>
        <w:lang w:val="en-GB" w:eastAsia="en-GB"/>
      </w:rPr>
      <w:drawing>
        <wp:inline distT="0" distB="0" distL="0" distR="0" wp14:anchorId="4A424C73" wp14:editId="6C7BAAF2">
          <wp:extent cx="1859799" cy="381992"/>
          <wp:effectExtent l="0" t="0" r="0" b="0"/>
          <wp:docPr id="6" name="Picture 6" descr="Files:Current Client:Walkgrove:Sphere:Sphere examples and guidelines:Visual_guidelines_and_materials:HANDBOOK ICONS:Sphere-Project-Logo-Landscape-No-Tagline-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Files:Current Client:Walkgrove:Sphere:Sphere examples and guidelines:Visual_guidelines_and_materials:HANDBOOK ICONS:Sphere-Project-Logo-Landscape-No-Tagline-RG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2427" cy="3825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367316" w14:textId="1092DA27" w:rsidR="007A7ACB" w:rsidRPr="00071A20" w:rsidRDefault="00071A20" w:rsidP="00071A20">
    <w:pPr>
      <w:pStyle w:val="Header"/>
      <w:tabs>
        <w:tab w:val="left" w:pos="8222"/>
      </w:tabs>
      <w:rPr>
        <w:lang w:val="es-ES"/>
      </w:rPr>
    </w:pPr>
    <w:r>
      <w:rPr>
        <w:lang w:val="es-ES"/>
      </w:rPr>
      <w:t>Fiches</w:t>
    </w:r>
    <w:r w:rsidR="00ED3CA3">
      <w:rPr>
        <w:lang w:val="es-ES"/>
      </w:rPr>
      <w:t xml:space="preserve"> à distribuer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F00D55" w14:textId="195C28B9" w:rsidR="007A7ACB" w:rsidRPr="009F5A8D" w:rsidRDefault="007A7ACB" w:rsidP="009F5A8D">
    <w:pPr>
      <w:pStyle w:val="Heading1"/>
    </w:pPr>
    <w:r w:rsidRPr="009F5A8D">
      <w:t xml:space="preserve">Module </w:t>
    </w:r>
    <w:r w:rsidR="00175CA3" w:rsidRPr="009F5A8D">
      <w:t>B3 –</w:t>
    </w:r>
    <w:r w:rsidRPr="009F5A8D">
      <w:t xml:space="preserve"> Sph</w:t>
    </w:r>
    <w:r w:rsidR="009F5A8D" w:rsidRPr="009F5A8D">
      <w:t>ère, la r</w:t>
    </w:r>
    <w:r w:rsidR="009F5A8D">
      <w:t>é</w:t>
    </w:r>
    <w:r w:rsidR="009F5A8D" w:rsidRPr="009F5A8D">
      <w:t>ducti</w:t>
    </w:r>
    <w:r w:rsidR="009F5A8D">
      <w:t xml:space="preserve">on/gestion des </w:t>
    </w:r>
    <w:r w:rsidR="00F57D68" w:rsidRPr="009F5A8D">
      <w:tab/>
    </w:r>
    <w:bookmarkStart w:id="0" w:name="_GoBack"/>
    <w:r w:rsidR="00F57D68" w:rsidRPr="001D2B8B">
      <w:rPr>
        <w:color w:val="579305" w:themeColor="accent1"/>
        <w:szCs w:val="28"/>
      </w:rPr>
      <w:t>Fiches à distribuer</w:t>
    </w:r>
    <w:r w:rsidR="00F57D68" w:rsidRPr="001D2B8B">
      <w:rPr>
        <w:szCs w:val="28"/>
      </w:rPr>
      <w:br/>
    </w:r>
    <w:bookmarkEnd w:id="0"/>
    <w:r w:rsidR="009F5A8D">
      <w:t>risques de catastrophe et la résilience</w:t>
    </w:r>
  </w:p>
  <w:p w14:paraId="3E1679D9" w14:textId="5A865F50" w:rsidR="007A7ACB" w:rsidRPr="009F5A8D" w:rsidRDefault="009F5A8D" w:rsidP="00F51600">
    <w:pPr>
      <w:pStyle w:val="Heading2"/>
      <w:pBdr>
        <w:bottom w:val="single" w:sz="4" w:space="4" w:color="004386" w:themeColor="text2"/>
      </w:pBdr>
      <w:spacing w:after="0"/>
    </w:pPr>
    <w:r w:rsidRPr="009F5A8D">
      <w:t>Comment utiliser Sphère pour soutenir la réduction/gestion des risques de catastrophe et renforcer la résilience de la population touchée</w:t>
    </w:r>
    <w:r>
      <w:t> </w:t>
    </w:r>
    <w:r w:rsidR="007A7ACB" w:rsidRPr="009F5A8D">
      <w:t>?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714E7"/>
    <w:multiLevelType w:val="hybridMultilevel"/>
    <w:tmpl w:val="4AD08D6C"/>
    <w:lvl w:ilvl="0" w:tplc="885824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082DCA"/>
    <w:multiLevelType w:val="hybridMultilevel"/>
    <w:tmpl w:val="C1EAB630"/>
    <w:lvl w:ilvl="0" w:tplc="97CCFBDE">
      <w:start w:val="1"/>
      <w:numFmt w:val="bullet"/>
      <w:pStyle w:val="subbullet"/>
      <w:lvlText w:val="–"/>
      <w:lvlJc w:val="left"/>
      <w:pPr>
        <w:ind w:left="284" w:hanging="284"/>
      </w:pPr>
      <w:rPr>
        <w:rFonts w:ascii="Times New Roman" w:hAnsi="Times New Roman" w:cs="Times New Roman" w:hint="default"/>
        <w:color w:val="0065A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86210F"/>
    <w:multiLevelType w:val="multilevel"/>
    <w:tmpl w:val="583A294C"/>
    <w:lvl w:ilvl="0">
      <w:start w:val="1"/>
      <w:numFmt w:val="decimal"/>
      <w:lvlText w:val="%1."/>
      <w:lvlJc w:val="left"/>
      <w:pPr>
        <w:ind w:left="708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3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2160"/>
      </w:pPr>
      <w:rPr>
        <w:rFonts w:hint="default"/>
      </w:rPr>
    </w:lvl>
  </w:abstractNum>
  <w:abstractNum w:abstractNumId="3">
    <w:nsid w:val="0F881074"/>
    <w:multiLevelType w:val="hybridMultilevel"/>
    <w:tmpl w:val="B4024A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0D7DD3"/>
    <w:multiLevelType w:val="hybridMultilevel"/>
    <w:tmpl w:val="0DC22FB2"/>
    <w:lvl w:ilvl="0" w:tplc="BD68BE1C">
      <w:start w:val="1"/>
      <w:numFmt w:val="bullet"/>
      <w:pStyle w:val="bullet"/>
      <w:lvlText w:val=""/>
      <w:lvlJc w:val="left"/>
      <w:pPr>
        <w:ind w:left="284" w:hanging="284"/>
      </w:pPr>
      <w:rPr>
        <w:rFonts w:ascii="Symbol" w:hAnsi="Symbol" w:hint="default"/>
        <w:color w:val="004386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25672F"/>
    <w:multiLevelType w:val="hybridMultilevel"/>
    <w:tmpl w:val="5882EF42"/>
    <w:lvl w:ilvl="0" w:tplc="A6F0BB26">
      <w:start w:val="1"/>
      <w:numFmt w:val="bullet"/>
      <w:pStyle w:val="table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C4385D"/>
    <w:multiLevelType w:val="hybridMultilevel"/>
    <w:tmpl w:val="0916F6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6B6FA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2BF76566"/>
    <w:multiLevelType w:val="hybridMultilevel"/>
    <w:tmpl w:val="9C981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3452C8"/>
    <w:multiLevelType w:val="hybridMultilevel"/>
    <w:tmpl w:val="25AA2D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980635"/>
    <w:multiLevelType w:val="multilevel"/>
    <w:tmpl w:val="0DC22FB2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  <w:color w:val="004386" w:themeColor="text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785B9B"/>
    <w:multiLevelType w:val="hybridMultilevel"/>
    <w:tmpl w:val="2AD226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0"/>
  </w:num>
  <w:num w:numId="8">
    <w:abstractNumId w:val="11"/>
  </w:num>
  <w:num w:numId="9">
    <w:abstractNumId w:val="6"/>
  </w:num>
  <w:num w:numId="10">
    <w:abstractNumId w:val="9"/>
  </w:num>
  <w:num w:numId="11">
    <w:abstractNumId w:val="3"/>
  </w:num>
  <w:num w:numId="12">
    <w:abstractNumId w:val="8"/>
  </w:num>
  <w:num w:numId="13">
    <w:abstractNumId w:val="7"/>
  </w:num>
  <w:num w:numId="14">
    <w:abstractNumId w:val="4"/>
  </w:num>
  <w:num w:numId="15">
    <w:abstractNumId w:val="5"/>
  </w:num>
  <w:num w:numId="16">
    <w:abstractNumId w:val="4"/>
  </w:num>
  <w:num w:numId="17">
    <w:abstractNumId w:val="5"/>
  </w:num>
  <w:num w:numId="18">
    <w:abstractNumId w:val="10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es-ES" w:vendorID="64" w:dllVersion="131078" w:nlCheck="1" w:checkStyle="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146"/>
    <w:rsid w:val="00060F8A"/>
    <w:rsid w:val="00071A20"/>
    <w:rsid w:val="001164B6"/>
    <w:rsid w:val="0013229F"/>
    <w:rsid w:val="00144112"/>
    <w:rsid w:val="0015588F"/>
    <w:rsid w:val="001713BA"/>
    <w:rsid w:val="001740C0"/>
    <w:rsid w:val="00175CA3"/>
    <w:rsid w:val="001869EC"/>
    <w:rsid w:val="001C7F2F"/>
    <w:rsid w:val="001D0724"/>
    <w:rsid w:val="001D2B8B"/>
    <w:rsid w:val="001D7A65"/>
    <w:rsid w:val="001F7F75"/>
    <w:rsid w:val="00200D4D"/>
    <w:rsid w:val="00205074"/>
    <w:rsid w:val="002201FF"/>
    <w:rsid w:val="00237D09"/>
    <w:rsid w:val="00241992"/>
    <w:rsid w:val="0026582D"/>
    <w:rsid w:val="00283A81"/>
    <w:rsid w:val="002848CC"/>
    <w:rsid w:val="002933E5"/>
    <w:rsid w:val="002958E2"/>
    <w:rsid w:val="002D3B86"/>
    <w:rsid w:val="002F2B87"/>
    <w:rsid w:val="0030064E"/>
    <w:rsid w:val="00314ADC"/>
    <w:rsid w:val="00315E11"/>
    <w:rsid w:val="0034016E"/>
    <w:rsid w:val="003459D2"/>
    <w:rsid w:val="00370153"/>
    <w:rsid w:val="003A4483"/>
    <w:rsid w:val="003C469E"/>
    <w:rsid w:val="003C5331"/>
    <w:rsid w:val="003E013F"/>
    <w:rsid w:val="003E2279"/>
    <w:rsid w:val="003E2DB9"/>
    <w:rsid w:val="003F0731"/>
    <w:rsid w:val="003F0EB3"/>
    <w:rsid w:val="004231C3"/>
    <w:rsid w:val="0043797B"/>
    <w:rsid w:val="0045590B"/>
    <w:rsid w:val="00463DB5"/>
    <w:rsid w:val="00472F2A"/>
    <w:rsid w:val="00484360"/>
    <w:rsid w:val="00491CA6"/>
    <w:rsid w:val="004C7537"/>
    <w:rsid w:val="004D7062"/>
    <w:rsid w:val="004F1D9A"/>
    <w:rsid w:val="0050225B"/>
    <w:rsid w:val="005536BD"/>
    <w:rsid w:val="005751FD"/>
    <w:rsid w:val="005F6AEE"/>
    <w:rsid w:val="00601FF7"/>
    <w:rsid w:val="00620E7C"/>
    <w:rsid w:val="0063519D"/>
    <w:rsid w:val="00637110"/>
    <w:rsid w:val="006712EB"/>
    <w:rsid w:val="00690F64"/>
    <w:rsid w:val="006C099B"/>
    <w:rsid w:val="006D149B"/>
    <w:rsid w:val="006E74C4"/>
    <w:rsid w:val="007030AE"/>
    <w:rsid w:val="00711FA1"/>
    <w:rsid w:val="00714CE1"/>
    <w:rsid w:val="00715CA8"/>
    <w:rsid w:val="00731755"/>
    <w:rsid w:val="00761400"/>
    <w:rsid w:val="00763E9A"/>
    <w:rsid w:val="00775878"/>
    <w:rsid w:val="00781146"/>
    <w:rsid w:val="00792B8B"/>
    <w:rsid w:val="007A255B"/>
    <w:rsid w:val="007A4412"/>
    <w:rsid w:val="007A7ACB"/>
    <w:rsid w:val="007B3E00"/>
    <w:rsid w:val="007C390C"/>
    <w:rsid w:val="007D6409"/>
    <w:rsid w:val="007E479A"/>
    <w:rsid w:val="00810AFF"/>
    <w:rsid w:val="00811B63"/>
    <w:rsid w:val="00816A31"/>
    <w:rsid w:val="00825D04"/>
    <w:rsid w:val="008260A5"/>
    <w:rsid w:val="008647F3"/>
    <w:rsid w:val="008652CA"/>
    <w:rsid w:val="0087787A"/>
    <w:rsid w:val="00891199"/>
    <w:rsid w:val="008919BD"/>
    <w:rsid w:val="008B24A3"/>
    <w:rsid w:val="008B4444"/>
    <w:rsid w:val="008B7D3C"/>
    <w:rsid w:val="008C083F"/>
    <w:rsid w:val="008E0263"/>
    <w:rsid w:val="008F7DE8"/>
    <w:rsid w:val="0090172B"/>
    <w:rsid w:val="0090692F"/>
    <w:rsid w:val="00925784"/>
    <w:rsid w:val="00937519"/>
    <w:rsid w:val="009516C3"/>
    <w:rsid w:val="00971AD2"/>
    <w:rsid w:val="00981544"/>
    <w:rsid w:val="0098193F"/>
    <w:rsid w:val="00993E5B"/>
    <w:rsid w:val="00995549"/>
    <w:rsid w:val="009C6C4F"/>
    <w:rsid w:val="009D6A86"/>
    <w:rsid w:val="009D7027"/>
    <w:rsid w:val="009E270C"/>
    <w:rsid w:val="009F5A8D"/>
    <w:rsid w:val="00A03E4F"/>
    <w:rsid w:val="00A12EC0"/>
    <w:rsid w:val="00A46634"/>
    <w:rsid w:val="00A628C0"/>
    <w:rsid w:val="00A80DF5"/>
    <w:rsid w:val="00A93E89"/>
    <w:rsid w:val="00A95124"/>
    <w:rsid w:val="00AB088B"/>
    <w:rsid w:val="00AB1708"/>
    <w:rsid w:val="00AB2C71"/>
    <w:rsid w:val="00AD30D2"/>
    <w:rsid w:val="00AF36C0"/>
    <w:rsid w:val="00B40995"/>
    <w:rsid w:val="00B572C2"/>
    <w:rsid w:val="00B66D58"/>
    <w:rsid w:val="00B70E34"/>
    <w:rsid w:val="00B91AAC"/>
    <w:rsid w:val="00BB4EC0"/>
    <w:rsid w:val="00BE3D5B"/>
    <w:rsid w:val="00BF0109"/>
    <w:rsid w:val="00C0309C"/>
    <w:rsid w:val="00C03D04"/>
    <w:rsid w:val="00C32D00"/>
    <w:rsid w:val="00C35B0F"/>
    <w:rsid w:val="00C507F3"/>
    <w:rsid w:val="00C62C21"/>
    <w:rsid w:val="00D043E4"/>
    <w:rsid w:val="00D064C5"/>
    <w:rsid w:val="00D221A6"/>
    <w:rsid w:val="00D54219"/>
    <w:rsid w:val="00D90736"/>
    <w:rsid w:val="00DD0F73"/>
    <w:rsid w:val="00DE202F"/>
    <w:rsid w:val="00DE210D"/>
    <w:rsid w:val="00DE21D3"/>
    <w:rsid w:val="00DF2534"/>
    <w:rsid w:val="00E15219"/>
    <w:rsid w:val="00E2620E"/>
    <w:rsid w:val="00E26D30"/>
    <w:rsid w:val="00E467D0"/>
    <w:rsid w:val="00E71C66"/>
    <w:rsid w:val="00E80575"/>
    <w:rsid w:val="00E8153D"/>
    <w:rsid w:val="00E8474E"/>
    <w:rsid w:val="00EA1F0B"/>
    <w:rsid w:val="00EB14C9"/>
    <w:rsid w:val="00ED3CA3"/>
    <w:rsid w:val="00EE535D"/>
    <w:rsid w:val="00F005F4"/>
    <w:rsid w:val="00F25952"/>
    <w:rsid w:val="00F51600"/>
    <w:rsid w:val="00F52152"/>
    <w:rsid w:val="00F57D68"/>
    <w:rsid w:val="00F66ABC"/>
    <w:rsid w:val="00F67F82"/>
    <w:rsid w:val="00F74CDC"/>
    <w:rsid w:val="00F97BB3"/>
    <w:rsid w:val="00FA7F78"/>
    <w:rsid w:val="00FF7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AE03F88"/>
  <w15:docId w15:val="{602E65EF-AB5E-4298-8E45-D9B9E6A0E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"/>
    <w:qFormat/>
    <w:rsid w:val="00B66D58"/>
    <w:pPr>
      <w:spacing w:before="120" w:line="280" w:lineRule="atLeast"/>
    </w:pPr>
    <w:rPr>
      <w:bCs/>
      <w:sz w:val="24"/>
      <w:szCs w:val="24"/>
      <w:lang w:eastAsia="es-ES"/>
    </w:rPr>
  </w:style>
  <w:style w:type="paragraph" w:styleId="Heading1">
    <w:name w:val="heading 1"/>
    <w:aliases w:val="h1"/>
    <w:basedOn w:val="Normal"/>
    <w:next w:val="Normal"/>
    <w:link w:val="Heading1Char"/>
    <w:qFormat/>
    <w:rsid w:val="00891199"/>
    <w:pPr>
      <w:keepNext/>
      <w:tabs>
        <w:tab w:val="right" w:pos="9356"/>
      </w:tabs>
      <w:spacing w:before="0" w:line="240" w:lineRule="auto"/>
      <w:outlineLvl w:val="0"/>
    </w:pPr>
    <w:rPr>
      <w:rFonts w:ascii="Tahoma" w:eastAsiaTheme="majorEastAsia" w:hAnsi="Tahoma" w:cs="Tahoma"/>
      <w:b/>
      <w:color w:val="004386"/>
      <w:kern w:val="32"/>
      <w:sz w:val="28"/>
      <w:szCs w:val="32"/>
    </w:rPr>
  </w:style>
  <w:style w:type="paragraph" w:styleId="Heading2">
    <w:name w:val="heading 2"/>
    <w:aliases w:val="h2"/>
    <w:basedOn w:val="Heading1"/>
    <w:next w:val="Normal"/>
    <w:link w:val="Heading2Char"/>
    <w:qFormat/>
    <w:rsid w:val="004231C3"/>
    <w:pPr>
      <w:spacing w:before="160" w:after="400"/>
      <w:outlineLvl w:val="1"/>
    </w:pPr>
    <w:rPr>
      <w:rFonts w:cs="Arial"/>
      <w:b w:val="0"/>
      <w:i/>
      <w:color w:val="004386" w:themeColor="text2"/>
      <w:sz w:val="24"/>
    </w:rPr>
  </w:style>
  <w:style w:type="paragraph" w:styleId="Heading3">
    <w:name w:val="heading 3"/>
    <w:aliases w:val="h3"/>
    <w:basedOn w:val="Heading2"/>
    <w:next w:val="Normal"/>
    <w:link w:val="Heading3Char"/>
    <w:qFormat/>
    <w:rsid w:val="00811B63"/>
    <w:pPr>
      <w:pageBreakBefore/>
      <w:spacing w:before="0" w:after="0"/>
      <w:outlineLvl w:val="2"/>
    </w:pPr>
    <w:rPr>
      <w:b/>
      <w:i w:val="0"/>
      <w:szCs w:val="24"/>
    </w:rPr>
  </w:style>
  <w:style w:type="paragraph" w:styleId="Heading4">
    <w:name w:val="heading 4"/>
    <w:aliases w:val="h4"/>
    <w:basedOn w:val="Heading3"/>
    <w:next w:val="Normal"/>
    <w:link w:val="Heading4Char"/>
    <w:uiPriority w:val="9"/>
    <w:unhideWhenUsed/>
    <w:qFormat/>
    <w:rsid w:val="00F51600"/>
    <w:pPr>
      <w:keepLines/>
      <w:spacing w:after="160"/>
      <w:outlineLvl w:val="3"/>
    </w:pPr>
    <w:rPr>
      <w:rFonts w:cstheme="majorBidi"/>
    </w:rPr>
  </w:style>
  <w:style w:type="paragraph" w:styleId="Heading5">
    <w:name w:val="heading 5"/>
    <w:basedOn w:val="Normal"/>
    <w:next w:val="Normal"/>
    <w:link w:val="Heading5Char"/>
    <w:qFormat/>
    <w:rsid w:val="00205074"/>
    <w:pPr>
      <w:spacing w:before="240" w:after="60"/>
      <w:outlineLvl w:val="4"/>
    </w:pPr>
    <w:rPr>
      <w:b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rsid w:val="00891199"/>
    <w:rPr>
      <w:rFonts w:ascii="Tahoma" w:eastAsiaTheme="majorEastAsia" w:hAnsi="Tahoma" w:cs="Tahoma"/>
      <w:b/>
      <w:bCs/>
      <w:color w:val="004386"/>
      <w:kern w:val="32"/>
      <w:sz w:val="28"/>
      <w:szCs w:val="32"/>
      <w:lang w:val="en-GB" w:eastAsia="es-ES"/>
    </w:rPr>
  </w:style>
  <w:style w:type="character" w:customStyle="1" w:styleId="Heading2Char">
    <w:name w:val="Heading 2 Char"/>
    <w:aliases w:val="h2 Char"/>
    <w:basedOn w:val="DefaultParagraphFont"/>
    <w:link w:val="Heading2"/>
    <w:rsid w:val="004231C3"/>
    <w:rPr>
      <w:rFonts w:ascii="Tahoma" w:eastAsiaTheme="majorEastAsia" w:hAnsi="Tahoma" w:cs="Arial"/>
      <w:bCs/>
      <w:i/>
      <w:color w:val="004386" w:themeColor="text2"/>
      <w:kern w:val="32"/>
      <w:sz w:val="24"/>
      <w:szCs w:val="32"/>
      <w:lang w:val="en-GB" w:eastAsia="es-ES"/>
    </w:rPr>
  </w:style>
  <w:style w:type="character" w:customStyle="1" w:styleId="Heading3Char">
    <w:name w:val="Heading 3 Char"/>
    <w:aliases w:val="h3 Char"/>
    <w:basedOn w:val="DefaultParagraphFont"/>
    <w:link w:val="Heading3"/>
    <w:rsid w:val="00811B63"/>
    <w:rPr>
      <w:rFonts w:ascii="Tahoma" w:eastAsiaTheme="majorEastAsia" w:hAnsi="Tahoma" w:cs="Arial"/>
      <w:b/>
      <w:bCs/>
      <w:color w:val="004386" w:themeColor="text2"/>
      <w:kern w:val="32"/>
      <w:sz w:val="24"/>
      <w:szCs w:val="24"/>
      <w:lang w:val="en-GB" w:eastAsia="es-ES"/>
    </w:rPr>
  </w:style>
  <w:style w:type="character" w:customStyle="1" w:styleId="Heading4Char">
    <w:name w:val="Heading 4 Char"/>
    <w:aliases w:val="h4 Char"/>
    <w:basedOn w:val="DefaultParagraphFont"/>
    <w:link w:val="Heading4"/>
    <w:uiPriority w:val="9"/>
    <w:rsid w:val="00F51600"/>
    <w:rPr>
      <w:rFonts w:ascii="Tahoma" w:eastAsiaTheme="majorEastAsia" w:hAnsi="Tahoma" w:cstheme="majorBidi"/>
      <w:b/>
      <w:bCs/>
      <w:color w:val="004386" w:themeColor="text2"/>
      <w:kern w:val="32"/>
      <w:sz w:val="24"/>
      <w:szCs w:val="24"/>
      <w:lang w:val="en-GB" w:eastAsia="es-ES"/>
    </w:rPr>
  </w:style>
  <w:style w:type="character" w:customStyle="1" w:styleId="Heading5Char">
    <w:name w:val="Heading 5 Char"/>
    <w:basedOn w:val="DefaultParagraphFont"/>
    <w:link w:val="Heading5"/>
    <w:rsid w:val="00205074"/>
    <w:rPr>
      <w:b/>
      <w:bCs/>
      <w:i/>
      <w:iCs/>
      <w:sz w:val="26"/>
      <w:szCs w:val="26"/>
      <w:lang w:val="en-US" w:eastAsia="es-ES"/>
    </w:rPr>
  </w:style>
  <w:style w:type="paragraph" w:styleId="Caption">
    <w:name w:val="caption"/>
    <w:basedOn w:val="Normal"/>
    <w:next w:val="Normal"/>
    <w:uiPriority w:val="35"/>
    <w:unhideWhenUsed/>
    <w:qFormat/>
    <w:rsid w:val="00205074"/>
    <w:pPr>
      <w:spacing w:before="0" w:after="200"/>
    </w:pPr>
    <w:rPr>
      <w:rFonts w:eastAsiaTheme="minorHAnsi" w:cstheme="minorBidi"/>
      <w:b/>
      <w:color w:val="579305" w:themeColor="accent1"/>
      <w:sz w:val="18"/>
      <w:szCs w:val="18"/>
      <w:lang w:eastAsia="en-US"/>
    </w:rPr>
  </w:style>
  <w:style w:type="character" w:styleId="Emphasis">
    <w:name w:val="Emphasis"/>
    <w:qFormat/>
    <w:rsid w:val="00205074"/>
    <w:rPr>
      <w:b/>
      <w:i w:val="0"/>
      <w:iCs/>
    </w:rPr>
  </w:style>
  <w:style w:type="table" w:styleId="TableGrid">
    <w:name w:val="Table Grid"/>
    <w:basedOn w:val="TableNormal"/>
    <w:uiPriority w:val="59"/>
    <w:rsid w:val="002050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05074"/>
    <w:rPr>
      <w:color w:val="004386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5074"/>
    <w:pPr>
      <w:spacing w:before="0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5074"/>
    <w:rPr>
      <w:rFonts w:cs="Tahoma"/>
      <w:bCs/>
      <w:sz w:val="16"/>
      <w:szCs w:val="16"/>
      <w:lang w:val="en-US" w:eastAsia="es-ES"/>
    </w:rPr>
  </w:style>
  <w:style w:type="paragraph" w:customStyle="1" w:styleId="table">
    <w:name w:val="table"/>
    <w:aliases w:val="t"/>
    <w:basedOn w:val="Normal"/>
    <w:qFormat/>
    <w:rsid w:val="009D7027"/>
    <w:pPr>
      <w:spacing w:before="80" w:after="80"/>
    </w:pPr>
  </w:style>
  <w:style w:type="paragraph" w:customStyle="1" w:styleId="tableheading">
    <w:name w:val="table heading"/>
    <w:aliases w:val="th"/>
    <w:basedOn w:val="table"/>
    <w:qFormat/>
    <w:rsid w:val="00B66D58"/>
    <w:pPr>
      <w:keepNext/>
    </w:pPr>
    <w:rPr>
      <w:rFonts w:ascii="Tahoma" w:hAnsi="Tahoma"/>
      <w:b/>
      <w:color w:val="004386" w:themeColor="text2"/>
      <w:sz w:val="22"/>
      <w:szCs w:val="22"/>
    </w:rPr>
  </w:style>
  <w:style w:type="paragraph" w:customStyle="1" w:styleId="bullet">
    <w:name w:val="bullet"/>
    <w:aliases w:val="b"/>
    <w:basedOn w:val="Normal"/>
    <w:qFormat/>
    <w:rsid w:val="00205074"/>
    <w:pPr>
      <w:numPr>
        <w:numId w:val="16"/>
      </w:numPr>
    </w:pPr>
  </w:style>
  <w:style w:type="paragraph" w:customStyle="1" w:styleId="tablebullet">
    <w:name w:val="table bullet"/>
    <w:basedOn w:val="table"/>
    <w:qFormat/>
    <w:rsid w:val="00205074"/>
    <w:pPr>
      <w:numPr>
        <w:numId w:val="17"/>
      </w:numPr>
      <w:ind w:left="284" w:hanging="284"/>
    </w:pPr>
  </w:style>
  <w:style w:type="paragraph" w:styleId="Header">
    <w:name w:val="header"/>
    <w:basedOn w:val="Normal"/>
    <w:link w:val="HeaderChar"/>
    <w:uiPriority w:val="99"/>
    <w:unhideWhenUsed/>
    <w:rsid w:val="00891199"/>
    <w:pPr>
      <w:pBdr>
        <w:bottom w:val="single" w:sz="4" w:space="4" w:color="004386" w:themeColor="text2"/>
      </w:pBdr>
      <w:tabs>
        <w:tab w:val="right" w:pos="9356"/>
      </w:tabs>
      <w:spacing w:before="0" w:line="240" w:lineRule="auto"/>
      <w:jc w:val="right"/>
    </w:pPr>
    <w:rPr>
      <w:rFonts w:ascii="Tahoma" w:hAnsi="Tahoma" w:cs="Tahoma"/>
      <w:b/>
      <w:color w:val="579305" w:themeColor="accent1"/>
    </w:rPr>
  </w:style>
  <w:style w:type="character" w:customStyle="1" w:styleId="HeaderChar">
    <w:name w:val="Header Char"/>
    <w:basedOn w:val="DefaultParagraphFont"/>
    <w:link w:val="Header"/>
    <w:uiPriority w:val="99"/>
    <w:rsid w:val="00891199"/>
    <w:rPr>
      <w:rFonts w:ascii="Tahoma" w:hAnsi="Tahoma" w:cs="Tahoma"/>
      <w:b/>
      <w:bCs/>
      <w:color w:val="579305" w:themeColor="accent1"/>
      <w:sz w:val="24"/>
      <w:szCs w:val="24"/>
      <w:lang w:val="en-US" w:eastAsia="es-ES"/>
    </w:rPr>
  </w:style>
  <w:style w:type="paragraph" w:styleId="Footer">
    <w:name w:val="footer"/>
    <w:basedOn w:val="Normal"/>
    <w:link w:val="FooterChar"/>
    <w:uiPriority w:val="99"/>
    <w:unhideWhenUsed/>
    <w:rsid w:val="00F51600"/>
    <w:pPr>
      <w:pBdr>
        <w:top w:val="single" w:sz="4" w:space="4" w:color="004386" w:themeColor="text2"/>
      </w:pBdr>
      <w:tabs>
        <w:tab w:val="right" w:pos="9356"/>
      </w:tabs>
      <w:spacing w:before="0" w:line="240" w:lineRule="auto"/>
    </w:pPr>
    <w:rPr>
      <w:rFonts w:ascii="Tahoma" w:hAnsi="Tahoma" w:cs="Tahoma"/>
      <w:color w:val="004386" w:themeColor="text2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F51600"/>
    <w:rPr>
      <w:rFonts w:ascii="Tahoma" w:hAnsi="Tahoma" w:cs="Tahoma"/>
      <w:bCs/>
      <w:color w:val="004386" w:themeColor="text2"/>
      <w:sz w:val="18"/>
      <w:szCs w:val="18"/>
      <w:lang w:val="en-US" w:eastAsia="es-ES"/>
    </w:rPr>
  </w:style>
  <w:style w:type="character" w:styleId="PageNumber">
    <w:name w:val="page number"/>
    <w:basedOn w:val="DefaultParagraphFont"/>
    <w:uiPriority w:val="99"/>
    <w:semiHidden/>
    <w:unhideWhenUsed/>
    <w:rsid w:val="00205074"/>
    <w:rPr>
      <w:rFonts w:asciiTheme="minorHAnsi" w:hAnsiTheme="minorHAnsi"/>
    </w:rPr>
  </w:style>
  <w:style w:type="character" w:customStyle="1" w:styleId="logobaselineshift">
    <w:name w:val="logo baseline shift"/>
    <w:uiPriority w:val="1"/>
    <w:rsid w:val="00205074"/>
    <w:rPr>
      <w:noProof/>
      <w:position w:val="-20"/>
    </w:rPr>
  </w:style>
  <w:style w:type="character" w:styleId="FollowedHyperlink">
    <w:name w:val="FollowedHyperlink"/>
    <w:basedOn w:val="DefaultParagraphFont"/>
    <w:uiPriority w:val="99"/>
    <w:semiHidden/>
    <w:unhideWhenUsed/>
    <w:rsid w:val="00205074"/>
    <w:rPr>
      <w:color w:val="004386"/>
      <w:u w:val="single"/>
    </w:rPr>
  </w:style>
  <w:style w:type="paragraph" w:customStyle="1" w:styleId="subbullet">
    <w:name w:val="sub bullet"/>
    <w:aliases w:val="s"/>
    <w:basedOn w:val="Normal"/>
    <w:qFormat/>
    <w:rsid w:val="00DE202F"/>
    <w:pPr>
      <w:numPr>
        <w:numId w:val="19"/>
      </w:numPr>
      <w:spacing w:before="80"/>
      <w:ind w:left="568"/>
    </w:pPr>
  </w:style>
  <w:style w:type="paragraph" w:customStyle="1" w:styleId="Largebodytable">
    <w:name w:val="Large body/table"/>
    <w:basedOn w:val="Normal"/>
    <w:qFormat/>
    <w:rsid w:val="009D7027"/>
    <w:pPr>
      <w:spacing w:before="240" w:after="240" w:line="288" w:lineRule="auto"/>
      <w:ind w:left="113" w:right="113"/>
    </w:pPr>
    <w:rPr>
      <w:sz w:val="28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9F5A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5A8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5A8D"/>
    <w:rPr>
      <w:bCs/>
      <w:lang w:val="en-GB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A8D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A8D"/>
    <w:rPr>
      <w:b/>
      <w:bCs/>
      <w:lang w:val="en-GB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Sphere">
  <a:themeElements>
    <a:clrScheme name="Sphere">
      <a:dk1>
        <a:sysClr val="windowText" lastClr="000000"/>
      </a:dk1>
      <a:lt1>
        <a:sysClr val="window" lastClr="FFFFFF"/>
      </a:lt1>
      <a:dk2>
        <a:srgbClr val="004386"/>
      </a:dk2>
      <a:lt2>
        <a:srgbClr val="87B91D"/>
      </a:lt2>
      <a:accent1>
        <a:srgbClr val="579305"/>
      </a:accent1>
      <a:accent2>
        <a:srgbClr val="C80F3F"/>
      </a:accent2>
      <a:accent3>
        <a:srgbClr val="FBAD18"/>
      </a:accent3>
      <a:accent4>
        <a:srgbClr val="E4028C"/>
      </a:accent4>
      <a:accent5>
        <a:srgbClr val="4BACC6"/>
      </a:accent5>
      <a:accent6>
        <a:srgbClr val="F79646"/>
      </a:accent6>
      <a:hlink>
        <a:srgbClr val="004386"/>
      </a:hlink>
      <a:folHlink>
        <a:srgbClr val="004386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879</Words>
  <Characters>5016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CeciliaFurtade</cp:lastModifiedBy>
  <cp:revision>8</cp:revision>
  <cp:lastPrinted>2015-01-05T09:17:00Z</cp:lastPrinted>
  <dcterms:created xsi:type="dcterms:W3CDTF">2015-01-26T15:32:00Z</dcterms:created>
  <dcterms:modified xsi:type="dcterms:W3CDTF">2015-02-12T18:15:00Z</dcterms:modified>
</cp:coreProperties>
</file>